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094948" w14:textId="24575B2F" w:rsidR="000B7810" w:rsidRPr="00657009" w:rsidRDefault="000B7810" w:rsidP="00FF51D3">
      <w:pPr>
        <w:tabs>
          <w:tab w:val="left" w:leader="underscore" w:pos="9639"/>
        </w:tabs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14:paraId="19A74730" w14:textId="0F2B39F1" w:rsidR="00351BAA" w:rsidRDefault="00351BAA" w:rsidP="00F067C8">
      <w:pPr>
        <w:tabs>
          <w:tab w:val="left" w:leader="underscore" w:pos="9639"/>
        </w:tabs>
        <w:spacing w:after="0" w:line="240" w:lineRule="auto"/>
        <w:jc w:val="center"/>
      </w:pPr>
    </w:p>
    <w:p w14:paraId="05DD6953" w14:textId="177A4B4E" w:rsidR="00351BAA" w:rsidRDefault="00351BAA" w:rsidP="00F067C8">
      <w:pPr>
        <w:tabs>
          <w:tab w:val="left" w:leader="underscore" w:pos="9639"/>
        </w:tabs>
        <w:spacing w:after="0" w:line="240" w:lineRule="auto"/>
        <w:jc w:val="center"/>
      </w:pPr>
    </w:p>
    <w:p w14:paraId="507776DB" w14:textId="69C0FA10" w:rsidR="007D1E76" w:rsidRPr="00E74967" w:rsidRDefault="00696C3D" w:rsidP="00F067C8">
      <w:pPr>
        <w:tabs>
          <w:tab w:val="left" w:leader="underscore" w:pos="9639"/>
        </w:tabs>
        <w:spacing w:after="0" w:line="240" w:lineRule="auto"/>
        <w:jc w:val="center"/>
        <w:rPr>
          <w:rFonts w:cs="Calibri"/>
          <w:b/>
          <w:sz w:val="28"/>
          <w:szCs w:val="28"/>
        </w:rPr>
      </w:pPr>
      <w:hyperlink r:id="rId11" w:history="1">
        <w:r w:rsidR="007D1E76" w:rsidRPr="00E74967">
          <w:rPr>
            <w:rStyle w:val="Hipervnculo"/>
            <w:rFonts w:cs="Calibri"/>
            <w:b/>
            <w:sz w:val="28"/>
            <w:szCs w:val="28"/>
          </w:rPr>
          <w:t>NOTAS DE GESTIÓN ADMINISTRATIVA</w:t>
        </w:r>
      </w:hyperlink>
    </w:p>
    <w:p w14:paraId="1217A01B" w14:textId="734E49B4" w:rsidR="007D1E76" w:rsidRPr="00E74967" w:rsidRDefault="007D1E76" w:rsidP="00F067C8">
      <w:pPr>
        <w:tabs>
          <w:tab w:val="left" w:leader="underscore" w:pos="9639"/>
        </w:tabs>
        <w:spacing w:after="0" w:line="240" w:lineRule="auto"/>
        <w:jc w:val="center"/>
        <w:rPr>
          <w:rFonts w:cs="Calibri"/>
        </w:rPr>
      </w:pPr>
    </w:p>
    <w:p w14:paraId="2F65D88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13110D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Los Estados Financieros de los entes públicos, proveen de información financiera a los principales usuarios de la misma, al</w:t>
      </w:r>
      <w:r w:rsidR="00E00323" w:rsidRPr="00E74967">
        <w:rPr>
          <w:rFonts w:cs="Calibri"/>
        </w:rPr>
        <w:t xml:space="preserve"> Congreso y a los ciudadanos.</w:t>
      </w:r>
    </w:p>
    <w:p w14:paraId="025F880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5F26DDB" w14:textId="08E5784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El objetivo del presente documento es la revelación del contexto y de los aspectos económicos</w:t>
      </w:r>
      <w:r w:rsidR="00967DDA">
        <w:rPr>
          <w:rFonts w:cs="Calibri"/>
        </w:rPr>
        <w:t>-</w:t>
      </w:r>
      <w:r w:rsidRPr="00E74967">
        <w:rPr>
          <w:rFonts w:cs="Calibri"/>
        </w:rPr>
        <w:t>financieros más relevantes que influyeron en las decisiones del período, y que deberán ser considerados en la elaboración de los estados financieros para la mayor comprensión de los m</w:t>
      </w:r>
      <w:r w:rsidR="00E00323" w:rsidRPr="00E74967">
        <w:rPr>
          <w:rFonts w:cs="Calibri"/>
        </w:rPr>
        <w:t>ismos y sus particularidades.</w:t>
      </w:r>
    </w:p>
    <w:p w14:paraId="606D20F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59642E6" w14:textId="7AD6189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 xml:space="preserve">De esta manera, </w:t>
      </w:r>
      <w:r w:rsidR="00295B72" w:rsidRPr="00295B72">
        <w:rPr>
          <w:rFonts w:cs="Calibri"/>
        </w:rPr>
        <w:t>se informan y explican las condiciones relacionadas con la información financiera de cada período de gestión; además, de exponer aquellas políticas que podrían afectar la toma de decisiones en períodos posteriores.</w:t>
      </w:r>
      <w:r w:rsidR="00C93C67">
        <w:rPr>
          <w:rFonts w:cs="Calibri"/>
        </w:rPr>
        <w:t xml:space="preserve"> (</w:t>
      </w:r>
      <w:r w:rsidR="00C93C67" w:rsidRPr="00C93C67">
        <w:rPr>
          <w:rFonts w:cs="Calibri"/>
          <w:color w:val="2F5496" w:themeColor="accent5" w:themeShade="BF"/>
        </w:rPr>
        <w:t>DOF 06-12-2022</w:t>
      </w:r>
      <w:r w:rsidR="00C93C67">
        <w:rPr>
          <w:rFonts w:cs="Calibri"/>
        </w:rPr>
        <w:t>)</w:t>
      </w:r>
    </w:p>
    <w:p w14:paraId="009160FA" w14:textId="7F828C13" w:rsidR="007D1E76" w:rsidRPr="00E74967" w:rsidRDefault="007D1E76" w:rsidP="00CB41C4">
      <w:pPr>
        <w:pStyle w:val="Prrafodelista"/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4420E1E" w14:textId="4E44B4A8" w:rsidR="007D1E76" w:rsidRPr="00E74967" w:rsidRDefault="007D1E76" w:rsidP="00CB41C4">
      <w:pPr>
        <w:pStyle w:val="Prrafodelista"/>
        <w:numPr>
          <w:ilvl w:val="0"/>
          <w:numId w:val="1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Las notas de gestión administrativa deben contener los siguientes puntos:</w:t>
      </w:r>
    </w:p>
    <w:p w14:paraId="552470B0" w14:textId="6EC8F965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sdt>
      <w:sdtPr>
        <w:rPr>
          <w:rFonts w:ascii="Calibri" w:eastAsia="Calibri" w:hAnsi="Calibri" w:cs="Times New Roman"/>
          <w:color w:val="auto"/>
          <w:sz w:val="22"/>
          <w:szCs w:val="22"/>
          <w:lang w:val="es-ES" w:eastAsia="en-US"/>
        </w:rPr>
        <w:id w:val="-19192282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8C75D59" w14:textId="5B2ECB74" w:rsidR="00F46719" w:rsidRDefault="00F46719">
          <w:pPr>
            <w:pStyle w:val="TtuloTDC"/>
            <w:rPr>
              <w:lang w:val="es-ES"/>
            </w:rPr>
          </w:pPr>
          <w:r>
            <w:rPr>
              <w:lang w:val="es-ES"/>
            </w:rPr>
            <w:t>Contenido</w:t>
          </w:r>
        </w:p>
        <w:p w14:paraId="6FC310E2" w14:textId="77777777" w:rsidR="00516100" w:rsidRPr="00516100" w:rsidRDefault="00516100" w:rsidP="00516100">
          <w:pPr>
            <w:rPr>
              <w:lang w:val="es-ES" w:eastAsia="es-MX"/>
            </w:rPr>
          </w:pPr>
        </w:p>
        <w:p w14:paraId="1A37D15B" w14:textId="5AA8D1B6" w:rsidR="005F51CC" w:rsidRDefault="00F46719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61472866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1. Autorización e Historia: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_Toc161472866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A6756CA" w14:textId="70EE1F63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7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 xml:space="preserve">2. </w:t>
            </w:r>
            <w:r w:rsidR="002563C2">
              <w:rPr>
                <w:rStyle w:val="Hipervnculo"/>
                <w:rFonts w:cstheme="minorHAnsi"/>
                <w:b/>
                <w:noProof/>
              </w:rPr>
              <w:t xml:space="preserve">Describir </w:t>
            </w:r>
            <w:r w:rsidR="005F51CC" w:rsidRPr="005C0188">
              <w:rPr>
                <w:rStyle w:val="Hipervnculo"/>
                <w:rFonts w:cstheme="minorHAnsi"/>
                <w:b/>
                <w:noProof/>
              </w:rPr>
              <w:t>Panorama Económico y Financiero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_Toc161472867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19796F35" w14:textId="2A6F2AC1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8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3. Organización y Objeto Social: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_Toc161472868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2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2AC0657" w14:textId="60F52637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69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4. Bases de Preparación de los Estados Financieros: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_Toc161472869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4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7C7C1962" w14:textId="0C3E2A27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0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5. Políticas de Contabilidad Significativas: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_Toc161472870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5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3FE6C661" w14:textId="09778311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1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6. Posición en Moneda Extranjera y Protección por Riesgo Cambiario: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_Toc161472871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6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135541CC" w14:textId="18DBEA42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2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7. Reporte Analítico del Activo: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_Toc161472872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48C9D852" w14:textId="4637A5A3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3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8. Fideicomisos, Mandatos y Análogos: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_Toc161472873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27C97E3" w14:textId="50521204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4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9. Reporte de la Recaudación: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_Toc161472874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0DB87A1" w14:textId="07984BF3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5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10. Información sobre la Deuda y el Reporte Analítico de la Deuda: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_Toc161472875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00EEECC2" w14:textId="23F30AC0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6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11. Calificaciones otorgadas: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_Toc161472876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8FD7A9A" w14:textId="4087C3C6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7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12. Proceso de Mejora: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_Toc161472877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7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5F55527F" w14:textId="2E22E9A2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8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13. Información por Segmentos: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_Toc161472878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674ABB69" w14:textId="4F33FB98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79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14. Eventos Posteriores al Cierre: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_Toc161472879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39048CDA" w14:textId="18A642DD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80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15. Partes Relacionadas: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_Toc161472880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7E9C5BA3" w14:textId="1E3E5358" w:rsidR="005F51CC" w:rsidRDefault="00696C3D">
          <w:pPr>
            <w:pStyle w:val="TDC2"/>
            <w:tabs>
              <w:tab w:val="right" w:leader="dot" w:pos="9678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es-MX"/>
              <w14:ligatures w14:val="standardContextual"/>
            </w:rPr>
          </w:pPr>
          <w:hyperlink w:anchor="_Toc161472881" w:history="1">
            <w:r w:rsidR="005F51CC" w:rsidRPr="005C0188">
              <w:rPr>
                <w:rStyle w:val="Hipervnculo"/>
                <w:rFonts w:cstheme="minorHAnsi"/>
                <w:b/>
                <w:noProof/>
              </w:rPr>
              <w:t>16. Responsabilidad Sobre la Presentación Razonable de la Información Contable:</w:t>
            </w:r>
            <w:r w:rsidR="005F51CC">
              <w:rPr>
                <w:noProof/>
                <w:webHidden/>
              </w:rPr>
              <w:tab/>
            </w:r>
            <w:r w:rsidR="005F51CC">
              <w:rPr>
                <w:noProof/>
                <w:webHidden/>
              </w:rPr>
              <w:fldChar w:fldCharType="begin"/>
            </w:r>
            <w:r w:rsidR="005F51CC">
              <w:rPr>
                <w:noProof/>
                <w:webHidden/>
              </w:rPr>
              <w:instrText xml:space="preserve"> PAGEREF _Toc161472881 \h </w:instrText>
            </w:r>
            <w:r w:rsidR="005F51CC">
              <w:rPr>
                <w:noProof/>
                <w:webHidden/>
              </w:rPr>
            </w:r>
            <w:r w:rsidR="005F51CC">
              <w:rPr>
                <w:noProof/>
                <w:webHidden/>
              </w:rPr>
              <w:fldChar w:fldCharType="separate"/>
            </w:r>
            <w:r w:rsidR="007B2694">
              <w:rPr>
                <w:noProof/>
                <w:webHidden/>
              </w:rPr>
              <w:t>8</w:t>
            </w:r>
            <w:r w:rsidR="005F51CC">
              <w:rPr>
                <w:noProof/>
                <w:webHidden/>
              </w:rPr>
              <w:fldChar w:fldCharType="end"/>
            </w:r>
          </w:hyperlink>
        </w:p>
        <w:p w14:paraId="43551857" w14:textId="4F747141" w:rsidR="00F46719" w:rsidRDefault="00F46719">
          <w:r>
            <w:rPr>
              <w:b/>
              <w:bCs/>
              <w:lang w:val="es-ES"/>
            </w:rPr>
            <w:lastRenderedPageBreak/>
            <w:fldChar w:fldCharType="end"/>
          </w:r>
        </w:p>
      </w:sdtContent>
    </w:sdt>
    <w:p w14:paraId="7203E26E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285DC0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4575967" w14:textId="09BF8276" w:rsidR="007D1E76" w:rsidRPr="000C3365" w:rsidRDefault="007E38A2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" w:name="_Toc161472866"/>
      <w:r>
        <w:rPr>
          <w:rFonts w:asciiTheme="minorHAnsi" w:hAnsiTheme="minorHAnsi" w:cstheme="minorHAnsi"/>
          <w:b/>
          <w:color w:val="auto"/>
          <w:sz w:val="22"/>
        </w:rPr>
        <w:t>1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Autoriza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ción e Historia:</w:t>
      </w:r>
      <w:bookmarkEnd w:id="1"/>
    </w:p>
    <w:p w14:paraId="360DA23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41574C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062E74E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F477DA3" w14:textId="4EB1AF19" w:rsidR="007D1E76" w:rsidRPr="002563C2" w:rsidRDefault="007D1E76" w:rsidP="002563C2">
      <w:pPr>
        <w:pStyle w:val="Prrafodelista"/>
        <w:numPr>
          <w:ilvl w:val="0"/>
          <w:numId w:val="2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2563C2">
        <w:rPr>
          <w:rFonts w:cs="Calibri"/>
        </w:rPr>
        <w:t>Fecha de creación del ente</w:t>
      </w:r>
      <w:r w:rsidR="00F43AC5" w:rsidRPr="002563C2">
        <w:rPr>
          <w:rFonts w:cs="Calibri"/>
        </w:rPr>
        <w:t xml:space="preserve"> público.</w:t>
      </w:r>
    </w:p>
    <w:p w14:paraId="57FAE1B5" w14:textId="77777777" w:rsidR="002563C2" w:rsidRPr="002563C2" w:rsidRDefault="002563C2" w:rsidP="002563C2">
      <w:pPr>
        <w:pStyle w:val="Prrafodelista"/>
        <w:numPr>
          <w:ilvl w:val="0"/>
          <w:numId w:val="2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C2D2533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El Municipio de Victoria se en cuenta registros de la primera administración en el perdió de 1950-9152 encabezada por el C. Albino Tavera Amezcua, bajo la denominación </w:t>
      </w:r>
      <w:proofErr w:type="gramStart"/>
      <w:r w:rsidRPr="00573BC3">
        <w:rPr>
          <w:rFonts w:ascii="Times New Roman" w:hAnsi="Times New Roman"/>
          <w:sz w:val="24"/>
          <w:szCs w:val="24"/>
        </w:rPr>
        <w:t>de  Victoria</w:t>
      </w:r>
      <w:proofErr w:type="gramEnd"/>
      <w:r w:rsidRPr="00573BC3">
        <w:rPr>
          <w:rFonts w:ascii="Times New Roman" w:hAnsi="Times New Roman"/>
          <w:sz w:val="24"/>
          <w:szCs w:val="24"/>
        </w:rPr>
        <w:t>., Guanajuato.</w:t>
      </w:r>
    </w:p>
    <w:p w14:paraId="3A2353BF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Principales cambios en su estructura (interna históricamente).</w:t>
      </w:r>
    </w:p>
    <w:p w14:paraId="00E20B32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D43FC6" w14:textId="77777777" w:rsidR="002563C2" w:rsidRPr="00573BC3" w:rsidRDefault="002563C2" w:rsidP="002563C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En la administración 1970-9172 dirigida por el ciudadano Ramón Gallardo Sánchez, se crean área enfocada a cada actividad que realizaba el municipio.  </w:t>
      </w:r>
    </w:p>
    <w:p w14:paraId="3B9F7B21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0436B17" w14:textId="77777777" w:rsidR="002563C2" w:rsidRPr="00573BC3" w:rsidRDefault="002563C2" w:rsidP="002563C2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En el año de 1998 el DIF Municipal se descentraliza del Municipio de Victoria, convirtiéndose así en una para municipal.</w:t>
      </w:r>
    </w:p>
    <w:p w14:paraId="657043D8" w14:textId="77777777" w:rsidR="002563C2" w:rsidRPr="00573BC3" w:rsidRDefault="002563C2" w:rsidP="002563C2">
      <w:pPr>
        <w:pStyle w:val="Prrafodelista"/>
        <w:rPr>
          <w:rFonts w:ascii="Times New Roman" w:hAnsi="Times New Roman"/>
          <w:sz w:val="24"/>
          <w:szCs w:val="24"/>
        </w:rPr>
      </w:pPr>
    </w:p>
    <w:p w14:paraId="45932019" w14:textId="1442C61E" w:rsidR="007D1E76" w:rsidRPr="002563C2" w:rsidRDefault="002563C2" w:rsidP="00CB41C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 primero de enero de 1998</w:t>
      </w:r>
      <w:r w:rsidRPr="00573BC3">
        <w:rPr>
          <w:rFonts w:ascii="Times New Roman" w:hAnsi="Times New Roman"/>
          <w:sz w:val="24"/>
          <w:szCs w:val="24"/>
        </w:rPr>
        <w:t xml:space="preserve">, el </w:t>
      </w:r>
      <w:proofErr w:type="gramStart"/>
      <w:r>
        <w:rPr>
          <w:rFonts w:ascii="Times New Roman" w:hAnsi="Times New Roman"/>
          <w:sz w:val="24"/>
          <w:szCs w:val="24"/>
        </w:rPr>
        <w:t>Dif  Municipal</w:t>
      </w:r>
      <w:proofErr w:type="gramEnd"/>
      <w:r>
        <w:rPr>
          <w:rFonts w:ascii="Times New Roman" w:hAnsi="Times New Roman"/>
          <w:sz w:val="24"/>
          <w:szCs w:val="24"/>
        </w:rPr>
        <w:t xml:space="preserve"> se </w:t>
      </w:r>
      <w:r w:rsidRPr="00573BC3">
        <w:rPr>
          <w:rFonts w:ascii="Times New Roman" w:hAnsi="Times New Roman"/>
          <w:sz w:val="24"/>
          <w:szCs w:val="24"/>
        </w:rPr>
        <w:t>de alta en el  SAT (Sistema de Administración Tributarias).</w:t>
      </w:r>
      <w:r w:rsidR="00CB41C4" w:rsidRPr="002563C2">
        <w:rPr>
          <w:rFonts w:cs="Calibri"/>
        </w:rPr>
        <w:tab/>
      </w:r>
    </w:p>
    <w:p w14:paraId="16A215A1" w14:textId="77777777" w:rsidR="00516A8F" w:rsidRPr="00E74967" w:rsidRDefault="00516A8F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A494C73" w14:textId="14568457" w:rsidR="00BE02EB" w:rsidRDefault="00BE02EB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2" w:name="_Toc161472867"/>
      <w:r>
        <w:rPr>
          <w:rFonts w:asciiTheme="minorHAnsi" w:hAnsiTheme="minorHAnsi" w:cstheme="minorHAnsi"/>
          <w:b/>
          <w:color w:val="auto"/>
          <w:sz w:val="22"/>
        </w:rPr>
        <w:t xml:space="preserve">2. </w:t>
      </w:r>
      <w:r w:rsidR="002563C2">
        <w:rPr>
          <w:rFonts w:asciiTheme="minorHAnsi" w:hAnsiTheme="minorHAnsi" w:cstheme="minorHAnsi"/>
          <w:b/>
          <w:color w:val="auto"/>
          <w:sz w:val="22"/>
        </w:rPr>
        <w:t xml:space="preserve">Describir </w:t>
      </w:r>
      <w:r w:rsidR="00B6368B" w:rsidRPr="00B6368B">
        <w:rPr>
          <w:rFonts w:asciiTheme="minorHAnsi" w:hAnsiTheme="minorHAnsi" w:cstheme="minorHAnsi"/>
          <w:b/>
          <w:color w:val="auto"/>
          <w:sz w:val="22"/>
        </w:rPr>
        <w:t>Panorama Económico y Financiero</w:t>
      </w:r>
      <w:bookmarkEnd w:id="2"/>
    </w:p>
    <w:p w14:paraId="548FE5C0" w14:textId="3C95EB09" w:rsidR="00516A8F" w:rsidRDefault="0012493A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12493A">
        <w:rPr>
          <w:rFonts w:cs="Calibri"/>
        </w:rPr>
        <w:t>Se informará sobre las principales condiciones económico-financieras bajo las cuales el ente público estuvo operando; y las cuales influyeron en la toma de decisiones de la administración; tanto a nivel local como federal.</w:t>
      </w:r>
    </w:p>
    <w:p w14:paraId="591C167F" w14:textId="77777777" w:rsidR="002563C2" w:rsidRPr="00E74967" w:rsidRDefault="002563C2" w:rsidP="002563C2">
      <w:pPr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 las principales condiciones económico-financieras bajo las cuales el ente público estuvo operando; y las cuales influyeron en la toma de decisiones de la administración; tanto a nivel local como federal.</w:t>
      </w:r>
    </w:p>
    <w:p w14:paraId="2597D88F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Al realizar el análisis un análisis detallado de las participaciones que recibe el municipio, </w:t>
      </w:r>
      <w:r>
        <w:rPr>
          <w:rFonts w:ascii="Times New Roman" w:hAnsi="Times New Roman"/>
          <w:sz w:val="24"/>
          <w:szCs w:val="24"/>
        </w:rPr>
        <w:t xml:space="preserve">y como consecuencia el 15% de los ingresos propios de Municipio nos otorgan para nuestras actividades se </w:t>
      </w:r>
      <w:r w:rsidRPr="00573BC3">
        <w:rPr>
          <w:rFonts w:ascii="Times New Roman" w:hAnsi="Times New Roman"/>
          <w:sz w:val="24"/>
          <w:szCs w:val="24"/>
        </w:rPr>
        <w:t xml:space="preserve">generó la toma de decisiones sobre a donde se va destinar recursos </w:t>
      </w:r>
      <w:r>
        <w:rPr>
          <w:rFonts w:ascii="Times New Roman" w:hAnsi="Times New Roman"/>
          <w:sz w:val="24"/>
          <w:szCs w:val="24"/>
        </w:rPr>
        <w:t xml:space="preserve">mismos que se utilizan para los gastos operativos y administrativos 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del  Municipio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 todos los recursos adicionales son gestionados por la Presidenta y Directora del mismo, </w:t>
      </w:r>
    </w:p>
    <w:p w14:paraId="4D5BB84C" w14:textId="77777777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En base a nuestro Estado Analítico de Ingresos se analizó, el importe que se destinaria para cada dirección con el que cuenta el </w:t>
      </w:r>
      <w:r>
        <w:rPr>
          <w:rFonts w:ascii="Times New Roman" w:hAnsi="Times New Roman"/>
          <w:sz w:val="24"/>
          <w:szCs w:val="24"/>
        </w:rPr>
        <w:t xml:space="preserve">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</w:t>
      </w:r>
      <w:proofErr w:type="gramStart"/>
      <w:r w:rsidRPr="00B152CE">
        <w:rPr>
          <w:rFonts w:ascii="Times New Roman" w:hAnsi="Times New Roman"/>
          <w:sz w:val="24"/>
          <w:szCs w:val="24"/>
        </w:rPr>
        <w:t>del  Municipio</w:t>
      </w:r>
      <w:proofErr w:type="gramEnd"/>
      <w:r w:rsidRPr="00B152CE">
        <w:rPr>
          <w:rFonts w:ascii="Times New Roman" w:hAnsi="Times New Roman"/>
          <w:sz w:val="24"/>
          <w:szCs w:val="24"/>
        </w:rPr>
        <w:t xml:space="preserve">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 w:rsidRPr="00573BC3">
        <w:rPr>
          <w:rFonts w:ascii="Times New Roman" w:hAnsi="Times New Roman"/>
          <w:sz w:val="24"/>
          <w:szCs w:val="24"/>
        </w:rPr>
        <w:t>, asignándo</w:t>
      </w:r>
      <w:r>
        <w:rPr>
          <w:rFonts w:ascii="Times New Roman" w:hAnsi="Times New Roman"/>
          <w:sz w:val="24"/>
          <w:szCs w:val="24"/>
        </w:rPr>
        <w:t>les un presupuesto de egresos, respetando los ingresos percibidos.</w:t>
      </w:r>
    </w:p>
    <w:p w14:paraId="0305CEA0" w14:textId="77777777" w:rsidR="0012493A" w:rsidRPr="00E74967" w:rsidRDefault="0012493A" w:rsidP="00516A8F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8136E94" w14:textId="2B775A1C" w:rsidR="007D1E76" w:rsidRPr="000C3365" w:rsidRDefault="009736CB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3" w:name="_Toc161472868"/>
      <w:r>
        <w:rPr>
          <w:rFonts w:asciiTheme="minorHAnsi" w:hAnsiTheme="minorHAnsi" w:cstheme="minorHAnsi"/>
          <w:b/>
          <w:color w:val="auto"/>
          <w:sz w:val="22"/>
        </w:rPr>
        <w:t>3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Organización y Objeto Social:</w:t>
      </w:r>
      <w:bookmarkEnd w:id="3"/>
    </w:p>
    <w:p w14:paraId="6C85E52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7B5DF2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473E423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A7F2587" w14:textId="390CC01A" w:rsidR="007D1E76" w:rsidRPr="002563C2" w:rsidRDefault="007D1E76" w:rsidP="002563C2">
      <w:pPr>
        <w:pStyle w:val="Prrafodelista"/>
        <w:numPr>
          <w:ilvl w:val="0"/>
          <w:numId w:val="4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2563C2">
        <w:rPr>
          <w:rFonts w:cs="Calibri"/>
        </w:rPr>
        <w:t>Objeto social.</w:t>
      </w:r>
    </w:p>
    <w:p w14:paraId="32A086E3" w14:textId="0E67BBF9" w:rsidR="002563C2" w:rsidRPr="00573BC3" w:rsidRDefault="002563C2" w:rsidP="002563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lastRenderedPageBreak/>
        <w:t xml:space="preserve">El </w:t>
      </w:r>
      <w:r>
        <w:rPr>
          <w:rFonts w:ascii="Times New Roman" w:hAnsi="Times New Roman"/>
          <w:sz w:val="24"/>
          <w:szCs w:val="24"/>
        </w:rPr>
        <w:t xml:space="preserve">Sistema </w:t>
      </w:r>
      <w:proofErr w:type="gramStart"/>
      <w:r>
        <w:rPr>
          <w:rFonts w:ascii="Times New Roman" w:hAnsi="Times New Roman"/>
          <w:sz w:val="24"/>
          <w:szCs w:val="24"/>
        </w:rPr>
        <w:t>Dif  Municipal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Pr="00573BC3">
        <w:rPr>
          <w:rFonts w:ascii="Times New Roman" w:hAnsi="Times New Roman"/>
          <w:sz w:val="24"/>
          <w:szCs w:val="24"/>
        </w:rPr>
        <w:t>de Victoria tiene como objeto social:</w:t>
      </w:r>
    </w:p>
    <w:p w14:paraId="6AC1320F" w14:textId="77777777" w:rsid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El bienestar de los habitantes de cabecera, así como de cada uno de las comunidades que integran al municipio.</w:t>
      </w:r>
    </w:p>
    <w:p w14:paraId="552164B4" w14:textId="77777777" w:rsidR="00247FE7" w:rsidRDefault="00247FE7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g</w:t>
      </w:r>
      <w:r w:rsidR="002563C2" w:rsidRPr="00247FE7">
        <w:rPr>
          <w:rFonts w:ascii="Times New Roman" w:hAnsi="Times New Roman"/>
          <w:sz w:val="24"/>
          <w:szCs w:val="24"/>
        </w:rPr>
        <w:t>estionar el desarrollo familiar, cultural y social.</w:t>
      </w:r>
    </w:p>
    <w:p w14:paraId="22DBA62A" w14:textId="77777777" w:rsid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Mejora las condiciones de vida de los habitantes victorenses.</w:t>
      </w:r>
    </w:p>
    <w:p w14:paraId="7EDC3A61" w14:textId="20B03485" w:rsidR="002563C2" w:rsidRPr="00247FE7" w:rsidRDefault="002563C2" w:rsidP="00247FE7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7FE7">
        <w:rPr>
          <w:rFonts w:ascii="Times New Roman" w:hAnsi="Times New Roman"/>
          <w:sz w:val="24"/>
          <w:szCs w:val="24"/>
        </w:rPr>
        <w:t>Mejorar la calidad de vida de las familias victorenses.</w:t>
      </w:r>
    </w:p>
    <w:p w14:paraId="43C65E00" w14:textId="29B1A15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C110A0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Principal actividad.</w:t>
      </w:r>
    </w:p>
    <w:p w14:paraId="41F6690B" w14:textId="77777777" w:rsidR="00247FE7" w:rsidRDefault="00CB41C4" w:rsidP="00247FE7">
      <w:pPr>
        <w:spacing w:after="0" w:line="240" w:lineRule="auto"/>
        <w:jc w:val="both"/>
        <w:rPr>
          <w:rFonts w:cs="Calibri"/>
        </w:rPr>
      </w:pPr>
      <w:r>
        <w:rPr>
          <w:rFonts w:cs="Calibri"/>
        </w:rPr>
        <w:tab/>
      </w:r>
    </w:p>
    <w:p w14:paraId="734513CD" w14:textId="2528ACC8" w:rsidR="00247FE7" w:rsidRDefault="00247FE7" w:rsidP="00247FE7">
      <w:pPr>
        <w:spacing w:after="0" w:line="240" w:lineRule="auto"/>
        <w:jc w:val="both"/>
        <w:rPr>
          <w:rFonts w:ascii="Times New Roman" w:hAnsi="Times New Roman"/>
          <w:color w:val="4F81BD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La actividad principal que realiza el del </w:t>
      </w:r>
      <w:r w:rsidRPr="00B152CE">
        <w:rPr>
          <w:rFonts w:ascii="Times New Roman" w:hAnsi="Times New Roman"/>
          <w:sz w:val="24"/>
          <w:szCs w:val="24"/>
        </w:rPr>
        <w:t xml:space="preserve">Sistema Dif para el Desarrollo Integral de la Familia del Municipio de Victoria., </w:t>
      </w:r>
      <w:proofErr w:type="spellStart"/>
      <w:r w:rsidRPr="00B152CE">
        <w:rPr>
          <w:rFonts w:ascii="Times New Roman" w:hAnsi="Times New Roman"/>
          <w:sz w:val="24"/>
          <w:szCs w:val="24"/>
        </w:rPr>
        <w:t>Gto</w:t>
      </w:r>
      <w:proofErr w:type="spellEnd"/>
      <w:r w:rsidRPr="00B152C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, es gestionar recursos para los habitantes de municipio, para cubrir las necesidades de los mismos, así como ofrecer servicios que ayuden a fortalecer las familias victorenses, en su desarrollo Integral.  </w:t>
      </w:r>
    </w:p>
    <w:p w14:paraId="2D21CE61" w14:textId="3C15881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c)</w:t>
      </w:r>
      <w:r w:rsidRPr="00E74967">
        <w:rPr>
          <w:rFonts w:cs="Calibri"/>
        </w:rPr>
        <w:t xml:space="preserve"> Ejercicio fiscal (</w:t>
      </w:r>
      <w:r w:rsidR="00CB41C4" w:rsidRPr="00E74967">
        <w:rPr>
          <w:rFonts w:cs="Calibri"/>
        </w:rPr>
        <w:t>mencionar,</w:t>
      </w:r>
      <w:r w:rsidRPr="00E74967">
        <w:rPr>
          <w:rFonts w:cs="Calibri"/>
        </w:rPr>
        <w:t xml:space="preserve"> por ejemplo: enero a diciembre de 20</w:t>
      </w:r>
      <w:r w:rsidR="009736CB">
        <w:rPr>
          <w:rFonts w:cs="Calibri"/>
        </w:rPr>
        <w:t>24</w:t>
      </w:r>
      <w:r w:rsidRPr="00E74967">
        <w:rPr>
          <w:rFonts w:cs="Calibri"/>
        </w:rPr>
        <w:t>).</w:t>
      </w:r>
    </w:p>
    <w:p w14:paraId="16703E54" w14:textId="11087473" w:rsidR="007D1E76" w:rsidRPr="00E7496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Enero a diciembre del 2024</w:t>
      </w:r>
    </w:p>
    <w:p w14:paraId="711C6095" w14:textId="56CAC16D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Régimen jurídico (Forma como está dada de alta la entidad ante la S.H.C.P., ejemplos: S.C., S.A., Personas morales sin fines de lucro, etc.).</w:t>
      </w:r>
    </w:p>
    <w:p w14:paraId="0F82D87B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 xml:space="preserve">Denominación social: </w:t>
      </w:r>
      <w:r>
        <w:rPr>
          <w:rFonts w:ascii="Times New Roman" w:hAnsi="Times New Roman"/>
          <w:sz w:val="24"/>
          <w:szCs w:val="24"/>
        </w:rPr>
        <w:t>SISTEMA PARA EL DESARROLLO INTEGRAL DE LA FAMILIA DEL MUNICIPIO DE VICTORIA, GTO.</w:t>
      </w:r>
    </w:p>
    <w:p w14:paraId="29B7A9C0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Domicilio</w:t>
      </w:r>
      <w:r>
        <w:rPr>
          <w:rFonts w:ascii="Times New Roman" w:hAnsi="Times New Roman"/>
          <w:sz w:val="24"/>
          <w:szCs w:val="24"/>
        </w:rPr>
        <w:t xml:space="preserve">: CALLE LIBETAD # 77, </w:t>
      </w:r>
      <w:r w:rsidRPr="00573BC3">
        <w:rPr>
          <w:rFonts w:ascii="Times New Roman" w:hAnsi="Times New Roman"/>
          <w:sz w:val="24"/>
          <w:szCs w:val="24"/>
        </w:rPr>
        <w:t>CENTRO</w:t>
      </w:r>
      <w:r>
        <w:rPr>
          <w:rFonts w:ascii="Times New Roman" w:hAnsi="Times New Roman"/>
          <w:sz w:val="24"/>
          <w:szCs w:val="24"/>
        </w:rPr>
        <w:t xml:space="preserve">, </w:t>
      </w:r>
      <w:r w:rsidRPr="00573BC3">
        <w:rPr>
          <w:rFonts w:ascii="Times New Roman" w:hAnsi="Times New Roman"/>
          <w:sz w:val="24"/>
          <w:szCs w:val="24"/>
        </w:rPr>
        <w:t>VICTORIA GUANAJUATO 37920.</w:t>
      </w:r>
    </w:p>
    <w:p w14:paraId="05F7E4AC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RFC: SDI880812 1E6</w:t>
      </w:r>
    </w:p>
    <w:p w14:paraId="120C5DA0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Actividad: Administración Pública Municipal en General.</w:t>
      </w:r>
    </w:p>
    <w:p w14:paraId="7F706D02" w14:textId="77777777" w:rsidR="00247FE7" w:rsidRPr="00573BC3" w:rsidRDefault="00247FE7" w:rsidP="00247FE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Situación de registro: ACTIVO.</w:t>
      </w:r>
    </w:p>
    <w:p w14:paraId="68B2272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5948964" w14:textId="77777777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Consideraciones fiscales del ente: </w:t>
      </w:r>
      <w:r w:rsidR="00657009" w:rsidRPr="00E74967">
        <w:rPr>
          <w:rFonts w:cs="Calibri"/>
        </w:rPr>
        <w:t>R</w:t>
      </w:r>
      <w:r w:rsidRPr="00E74967">
        <w:rPr>
          <w:rFonts w:cs="Calibri"/>
        </w:rPr>
        <w:t>evelar el tipo de contribuciones que esté obligado a pagar o retener.</w:t>
      </w:r>
    </w:p>
    <w:p w14:paraId="5BA63246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E99010D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mensual de retenciones de impuestos sobre la renta (ISR) por sueldos y salarios.</w:t>
      </w:r>
    </w:p>
    <w:p w14:paraId="3ECA1BDA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anual de impuestos sobre la renta (ISR) donde informe de sobre los pagos y retenciones de servicios profesionales. (Personas morales).</w:t>
      </w:r>
    </w:p>
    <w:p w14:paraId="6A9B4E26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declaración anual donde se informe sobre las retenciones de los trabajadores que recibieron sueldos y salarios, y trabajadores asimilados a salarios.</w:t>
      </w:r>
    </w:p>
    <w:p w14:paraId="63120921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mensual de impuestos sobre la renta (ISR) por las retenciones realizadas a los trabajadores asimilados a salarios.</w:t>
      </w:r>
    </w:p>
    <w:p w14:paraId="45F52475" w14:textId="77777777" w:rsidR="00247FE7" w:rsidRPr="00573BC3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y pago provisional ménsula de impuesto sobre la renta (ISR) por las retenciones realizadas por servicios profesionales.</w:t>
      </w:r>
    </w:p>
    <w:p w14:paraId="688484CD" w14:textId="77777777" w:rsidR="00247FE7" w:rsidRPr="005C3ECB" w:rsidRDefault="00247FE7" w:rsidP="00247FE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73BC3">
        <w:rPr>
          <w:rFonts w:ascii="Times New Roman" w:hAnsi="Times New Roman"/>
          <w:sz w:val="24"/>
          <w:szCs w:val="24"/>
        </w:rPr>
        <w:t>Presentar la declaración informativa anual de subsidio para el empleo.</w:t>
      </w:r>
    </w:p>
    <w:p w14:paraId="62E56314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85FA04A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CDD58D0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A6CDA33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5F1B2E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EB16245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C540662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848F957" w14:textId="77777777" w:rsidR="00247FE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734DF4C" w14:textId="77777777" w:rsidR="00247FE7" w:rsidRPr="00E74967" w:rsidRDefault="00247FE7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268EF7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B77A6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f)</w:t>
      </w:r>
      <w:r w:rsidRPr="00E74967">
        <w:rPr>
          <w:rFonts w:cs="Calibri"/>
        </w:rPr>
        <w:t xml:space="preserve"> Estructura organizacional básica.</w:t>
      </w:r>
    </w:p>
    <w:p w14:paraId="13E82C3D" w14:textId="582D1F28" w:rsidR="00CB41C4" w:rsidRDefault="00FF51D3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FF51D3">
        <w:rPr>
          <w:rFonts w:cs="Calibri"/>
          <w:noProof/>
          <w:lang w:eastAsia="es-MX"/>
        </w:rPr>
        <w:drawing>
          <wp:inline distT="0" distB="0" distL="0" distR="0" wp14:anchorId="5611330C" wp14:editId="783B98CD">
            <wp:extent cx="6151880" cy="493395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51880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85FA9" w14:textId="77777777" w:rsidR="0054701E" w:rsidRDefault="0054701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5F33799" w14:textId="77777777" w:rsidR="00CB41C4" w:rsidRPr="00E74967" w:rsidRDefault="00CB41C4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9CEE146" w14:textId="0080C658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g)</w:t>
      </w:r>
      <w:r w:rsidRPr="00E74967">
        <w:rPr>
          <w:rFonts w:cs="Calibri"/>
        </w:rPr>
        <w:t xml:space="preserve"> </w:t>
      </w:r>
      <w:r w:rsidR="00396D53" w:rsidRPr="00396D53">
        <w:rPr>
          <w:rFonts w:cs="Calibri"/>
        </w:rPr>
        <w:t>Fideicomisos de los cuales es fideicomitente o fideicomisario, y contratos análogos, incluyendo mandatos de los cuales es parte.</w:t>
      </w:r>
    </w:p>
    <w:p w14:paraId="60C4CB25" w14:textId="079D5DA5" w:rsidR="00247FE7" w:rsidRPr="00247FE7" w:rsidRDefault="00247FE7" w:rsidP="00247FE7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4" w:name="_Toc161472869"/>
      <w:r>
        <w:rPr>
          <w:rFonts w:ascii="Times New Roman" w:hAnsi="Times New Roman"/>
          <w:sz w:val="24"/>
          <w:szCs w:val="24"/>
        </w:rPr>
        <w:t xml:space="preserve">El Sistema para el Desarrollo Integral de la Familia del Municipio de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Victoria,Gto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., no cuenta con Fideicomisos.</w:t>
      </w:r>
    </w:p>
    <w:p w14:paraId="12E280BB" w14:textId="7EDE1118" w:rsidR="007D1E76" w:rsidRPr="000C3365" w:rsidRDefault="006F77A8" w:rsidP="00247FE7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4</w:t>
      </w:r>
      <w:r w:rsidR="007D1E76" w:rsidRPr="000C3365">
        <w:rPr>
          <w:rFonts w:asciiTheme="minorHAnsi" w:hAnsiTheme="minorHAnsi" w:cstheme="minorHAnsi"/>
          <w:b/>
        </w:rPr>
        <w:t>. Bases de Preparació</w:t>
      </w:r>
      <w:r w:rsidR="00E00323" w:rsidRPr="000C3365">
        <w:rPr>
          <w:rFonts w:asciiTheme="minorHAnsi" w:hAnsiTheme="minorHAnsi" w:cstheme="minorHAnsi"/>
          <w:b/>
        </w:rPr>
        <w:t>n de los Estados Financieros:</w:t>
      </w:r>
      <w:bookmarkEnd w:id="4"/>
    </w:p>
    <w:p w14:paraId="1671328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0FABCEB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E0F97E" w14:textId="77777777" w:rsidR="00247FE7" w:rsidRPr="00573BC3" w:rsidRDefault="007D1E76" w:rsidP="00247FE7">
      <w:pPr>
        <w:pStyle w:val="Prrafodelista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</w:t>
      </w:r>
      <w:r w:rsidR="00247FE7" w:rsidRPr="00573BC3">
        <w:rPr>
          <w:rFonts w:ascii="Times New Roman" w:hAnsi="Times New Roman"/>
          <w:sz w:val="24"/>
          <w:szCs w:val="24"/>
        </w:rPr>
        <w:t>Si se ha observado la normatividad emitida por el CONAC y las disposiciones legales aplicables.</w:t>
      </w:r>
    </w:p>
    <w:p w14:paraId="2AD0115E" w14:textId="77777777" w:rsidR="00247FE7" w:rsidRPr="00573BC3" w:rsidRDefault="00247FE7" w:rsidP="00247FE7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B371EA4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Aplicando un porcentaje es en un 75 %.</w:t>
      </w:r>
    </w:p>
    <w:p w14:paraId="5C9F24BC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3F52BD1" w14:textId="6051321C" w:rsidR="007D1E76" w:rsidRPr="00E74967" w:rsidRDefault="007D1E76" w:rsidP="00247FE7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La normatividad aplicada para el reconocimiento, valuación y revelación de los diferentes rubros de la información financiera, así como las bases de medición utilizadas para la elaboración de los estados </w:t>
      </w:r>
      <w:r w:rsidRPr="00E74967">
        <w:rPr>
          <w:rFonts w:cs="Calibri"/>
        </w:rPr>
        <w:lastRenderedPageBreak/>
        <w:t>financieros; por ejemplo: costo histórico, valor de realización, valor razonable, valor de recuperación o cualquier otro método empleado y los criterios de aplicación de los mismos.</w:t>
      </w:r>
    </w:p>
    <w:p w14:paraId="39E57FA6" w14:textId="77777777" w:rsidR="00247FE7" w:rsidRPr="000B7810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Aplicando un porcentaje es en un 60 %.</w:t>
      </w:r>
    </w:p>
    <w:p w14:paraId="345EDE32" w14:textId="77777777" w:rsidR="00247FE7" w:rsidRDefault="00247FE7" w:rsidP="00247FE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ED1C1ED" w14:textId="1C9EB72C" w:rsidR="007D1E76" w:rsidRPr="00EE5B59" w:rsidRDefault="00247FE7" w:rsidP="00EE5B59">
      <w:pPr>
        <w:spacing w:after="0" w:line="240" w:lineRule="auto"/>
        <w:ind w:left="284" w:firstLine="142"/>
        <w:jc w:val="both"/>
        <w:rPr>
          <w:rFonts w:ascii="Times New Roman" w:hAnsi="Times New Roman"/>
          <w:sz w:val="24"/>
          <w:szCs w:val="24"/>
        </w:rPr>
      </w:pPr>
      <w:r w:rsidRPr="00AE3ECA">
        <w:rPr>
          <w:rFonts w:ascii="Times New Roman" w:hAnsi="Times New Roman"/>
          <w:b/>
          <w:sz w:val="24"/>
          <w:szCs w:val="24"/>
        </w:rPr>
        <w:t>c)</w:t>
      </w:r>
      <w:r w:rsidRPr="00AE3ECA">
        <w:rPr>
          <w:rFonts w:ascii="Times New Roman" w:hAnsi="Times New Roman"/>
          <w:sz w:val="24"/>
          <w:szCs w:val="24"/>
        </w:rPr>
        <w:t xml:space="preserve"> Postulados básicos</w:t>
      </w:r>
      <w:r w:rsidR="00A6346D" w:rsidRPr="00A6346D">
        <w:rPr>
          <w:rFonts w:cs="Calibri"/>
        </w:rPr>
        <w:t xml:space="preserve"> de Contabilidad Gubernamental (PBCG)</w:t>
      </w:r>
      <w:r w:rsidR="007D1E76" w:rsidRPr="00E74967">
        <w:rPr>
          <w:rFonts w:cs="Calibri"/>
        </w:rPr>
        <w:t>.</w:t>
      </w:r>
    </w:p>
    <w:p w14:paraId="063A636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.-</w:t>
      </w:r>
      <w:proofErr w:type="gramEnd"/>
      <w:r>
        <w:rPr>
          <w:rFonts w:ascii="Times New Roman" w:hAnsi="Times New Roman"/>
          <w:sz w:val="24"/>
          <w:szCs w:val="24"/>
        </w:rPr>
        <w:t xml:space="preserve"> Sustancia Económica</w:t>
      </w:r>
    </w:p>
    <w:p w14:paraId="0904D65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2.- Entes Públicos</w:t>
      </w:r>
    </w:p>
    <w:p w14:paraId="199F929D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3.- Existencia permanente</w:t>
      </w:r>
    </w:p>
    <w:p w14:paraId="19C83DB2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4.- Revelación suficiente</w:t>
      </w:r>
    </w:p>
    <w:p w14:paraId="31F3930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5.- Importancia relativa</w:t>
      </w:r>
    </w:p>
    <w:p w14:paraId="685C6AAD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6.- Registro e integración presupuestaria</w:t>
      </w:r>
    </w:p>
    <w:p w14:paraId="3C7567B5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7.- Consolidación de la información</w:t>
      </w:r>
    </w:p>
    <w:p w14:paraId="7F186411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8.- Devengo contable</w:t>
      </w:r>
    </w:p>
    <w:p w14:paraId="65C3CDCB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9.- Valuación</w:t>
      </w:r>
    </w:p>
    <w:p w14:paraId="23BADB0F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10.- Dualidad Económica</w:t>
      </w:r>
    </w:p>
    <w:p w14:paraId="5272A105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11.- Consistencia</w:t>
      </w:r>
    </w:p>
    <w:p w14:paraId="12981D1A" w14:textId="77777777" w:rsidR="00EE5B59" w:rsidRPr="000B7810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DB08663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Postulados emitidos por la CONAC</w:t>
      </w:r>
    </w:p>
    <w:p w14:paraId="13C008AF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989D893" w14:textId="0FE5CB2F" w:rsidR="007D1E76" w:rsidRPr="00E74967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 </w:t>
      </w:r>
      <w:r w:rsidR="007D1E76" w:rsidRPr="00E74967">
        <w:rPr>
          <w:rFonts w:cs="Calibri"/>
          <w:b/>
        </w:rPr>
        <w:t>d)</w:t>
      </w:r>
      <w:r w:rsidR="007D1E76" w:rsidRPr="00E74967">
        <w:rPr>
          <w:rFonts w:cs="Calibri"/>
        </w:rPr>
        <w:t xml:space="preserve"> Normatividad supletoria. En caso de emplear varios grupos de normatividades (normatividades supletorias), deberá realizar la justificación razonable correspondiente, su alineación con los PBCG y a las características cualitativas asociadas descritas en el </w:t>
      </w:r>
      <w:r w:rsidR="0043078C" w:rsidRPr="0043078C">
        <w:rPr>
          <w:rFonts w:cs="Calibri"/>
        </w:rPr>
        <w:t>Marco Conceptual de Contabilidad Gubernamental (MCCG) y sus modificaciones.</w:t>
      </w:r>
    </w:p>
    <w:p w14:paraId="5BE5DE02" w14:textId="0E7C4B0B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B472BB0" w14:textId="500044A0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620B3B8B" w14:textId="2D2FBD85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84AD24A" w14:textId="1528DE53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Para las entidades que por primera vez estén implementando la base </w:t>
      </w:r>
      <w:r w:rsidR="0086420E">
        <w:rPr>
          <w:rFonts w:cs="Calibri"/>
        </w:rPr>
        <w:t xml:space="preserve">de </w:t>
      </w:r>
      <w:r w:rsidRPr="00E74967">
        <w:rPr>
          <w:rFonts w:cs="Calibri"/>
        </w:rPr>
        <w:t>devengado de acuerdo a la Ley de Contabilidad, deberán:</w:t>
      </w:r>
    </w:p>
    <w:p w14:paraId="3972094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6DA893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*Revelar las nuevas políticas de reconocimiento:</w:t>
      </w:r>
    </w:p>
    <w:p w14:paraId="2D25A237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6BEBABB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*Plan de implementación:</w:t>
      </w:r>
    </w:p>
    <w:p w14:paraId="17CCDE57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756D764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*Revelar los cambios en las políticas, la clasificación y medición de las mismas, así como su impacto en la información financiera:</w:t>
      </w:r>
    </w:p>
    <w:p w14:paraId="297A7896" w14:textId="77777777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71521D40" w14:textId="25A82D8F" w:rsidR="006F0687" w:rsidRPr="00E74967" w:rsidRDefault="006F0687" w:rsidP="006F0687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*</w:t>
      </w:r>
      <w:r w:rsidR="00D546B2" w:rsidRPr="00D546B2">
        <w:rPr>
          <w:rFonts w:cs="Calibri"/>
        </w:rPr>
        <w:t>Presentar los últimos estados financieros con la normatividad anteriormente utilizada con las nuevas políticas para fines de comparación en la transición a la base de devengado.</w:t>
      </w:r>
    </w:p>
    <w:p w14:paraId="38AE8FFC" w14:textId="13A0A610" w:rsidR="00EE5B59" w:rsidRDefault="00EE5B59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bookmarkStart w:id="5" w:name="_Toc161472870"/>
      <w:r>
        <w:rPr>
          <w:rFonts w:cs="Calibri"/>
        </w:rPr>
        <w:t>N/A</w:t>
      </w:r>
    </w:p>
    <w:p w14:paraId="7025E7E0" w14:textId="1BD67D35" w:rsidR="007D1E76" w:rsidRPr="00E74967" w:rsidRDefault="007F699D" w:rsidP="00EE5B59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</w:rPr>
      </w:pPr>
      <w:r>
        <w:rPr>
          <w:rFonts w:asciiTheme="minorHAnsi" w:hAnsiTheme="minorHAnsi" w:cstheme="minorHAnsi"/>
          <w:b/>
        </w:rPr>
        <w:t>5</w:t>
      </w:r>
      <w:r w:rsidR="007D1E76" w:rsidRPr="000C3365">
        <w:rPr>
          <w:rFonts w:asciiTheme="minorHAnsi" w:hAnsiTheme="minorHAnsi" w:cstheme="minorHAnsi"/>
          <w:b/>
        </w:rPr>
        <w:t>. Políticas de</w:t>
      </w:r>
      <w:r w:rsidR="00E00323" w:rsidRPr="000C3365">
        <w:rPr>
          <w:rFonts w:asciiTheme="minorHAnsi" w:hAnsiTheme="minorHAnsi" w:cstheme="minorHAnsi"/>
          <w:b/>
        </w:rPr>
        <w:t xml:space="preserve"> Contabilidad Significativas:</w:t>
      </w:r>
      <w:bookmarkEnd w:id="5"/>
    </w:p>
    <w:p w14:paraId="685C2AC3" w14:textId="77777777" w:rsidR="00AF4375" w:rsidRPr="00AF4375" w:rsidRDefault="00AF4375" w:rsidP="00AF4375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F4375">
        <w:rPr>
          <w:rFonts w:cs="Calibri"/>
        </w:rPr>
        <w:t xml:space="preserve">Son los principios, bases, reglas y procedimientos específicos adoptados por el ente público en la elaboración y presentación de sus estados financieros. </w:t>
      </w:r>
    </w:p>
    <w:p w14:paraId="793D8065" w14:textId="32E17174" w:rsidR="007D1E76" w:rsidRPr="00E74967" w:rsidRDefault="00AF4375" w:rsidP="00AF4375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F4375">
        <w:rPr>
          <w:rFonts w:cs="Calibri"/>
        </w:rPr>
        <w:t>El ente público seleccionará y aplicará sus políticas contables de manera congruente para transacciones, otros eventos y condiciones que sean similares.</w:t>
      </w:r>
    </w:p>
    <w:p w14:paraId="4773A4FE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3A8D795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073F87B" w14:textId="088E4F59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lastRenderedPageBreak/>
        <w:t>a)</w:t>
      </w:r>
      <w:r w:rsidRPr="00E74967">
        <w:rPr>
          <w:rFonts w:cs="Calibri"/>
        </w:rPr>
        <w:t xml:space="preserve"> </w:t>
      </w:r>
      <w:r w:rsidR="00FC1AE8" w:rsidRPr="00FC1AE8">
        <w:rPr>
          <w:rFonts w:cs="Calibri"/>
        </w:rPr>
        <w:t>Actualización: se informará del método utilizado para la actualización del valor de los activos, pasivos y Hacienda Pública/Patrimonio y las razones de dicha elección. Así como informar de la desconexión o reconexión inflacionaria</w:t>
      </w:r>
      <w:r w:rsidRPr="00E74967">
        <w:rPr>
          <w:rFonts w:cs="Calibri"/>
        </w:rPr>
        <w:t>:</w:t>
      </w:r>
    </w:p>
    <w:p w14:paraId="544EB68F" w14:textId="77777777" w:rsidR="00EE5B59" w:rsidRPr="00E74967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5EBA636" w14:textId="77777777" w:rsidR="00EE5B59" w:rsidRDefault="0054701E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cs="Calibri"/>
        </w:rPr>
        <w:tab/>
      </w:r>
      <w:r w:rsidR="00EE5B59">
        <w:rPr>
          <w:rFonts w:ascii="Times New Roman" w:hAnsi="Times New Roman"/>
          <w:sz w:val="24"/>
          <w:szCs w:val="24"/>
        </w:rPr>
        <w:t xml:space="preserve">Se aplican los emitidos por la </w:t>
      </w:r>
      <w:proofErr w:type="spellStart"/>
      <w:r w:rsidR="00EE5B59">
        <w:rPr>
          <w:rFonts w:ascii="Times New Roman" w:hAnsi="Times New Roman"/>
          <w:sz w:val="24"/>
          <w:szCs w:val="24"/>
        </w:rPr>
        <w:t>Conac</w:t>
      </w:r>
      <w:proofErr w:type="spellEnd"/>
      <w:r w:rsidR="00EE5B59">
        <w:rPr>
          <w:rFonts w:ascii="Times New Roman" w:hAnsi="Times New Roman"/>
          <w:sz w:val="24"/>
          <w:szCs w:val="24"/>
        </w:rPr>
        <w:t>.</w:t>
      </w:r>
    </w:p>
    <w:p w14:paraId="0D7EDDC2" w14:textId="77777777" w:rsidR="00EE5B59" w:rsidRPr="002166E8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D8017C2" w14:textId="4C544E71" w:rsidR="007D1E76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</w:t>
      </w:r>
      <w:r w:rsidR="001C710C" w:rsidRPr="001C710C">
        <w:rPr>
          <w:rFonts w:cs="Calibri"/>
        </w:rPr>
        <w:t>Informar sobre la realización de operaciones en el extranjero y de sus efectos en la información financiera gubernamental, considerando entre otros el importe de las variaciones cambiarias reconocidas en el resultado (ahorro o desahorro)</w:t>
      </w:r>
      <w:r w:rsidRPr="00E74967">
        <w:rPr>
          <w:rFonts w:cs="Calibri"/>
        </w:rPr>
        <w:t>:</w:t>
      </w:r>
    </w:p>
    <w:p w14:paraId="2642B398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249AAFDF" w14:textId="77777777" w:rsidR="00EE5B59" w:rsidRPr="00E74967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33324F3" w14:textId="626DBDA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c)</w:t>
      </w:r>
      <w:r w:rsidRPr="00E74967">
        <w:rPr>
          <w:rFonts w:cs="Calibri"/>
        </w:rPr>
        <w:t xml:space="preserve"> </w:t>
      </w:r>
      <w:r w:rsidR="00E9132F" w:rsidRPr="00E9132F">
        <w:rPr>
          <w:rFonts w:cs="Calibri"/>
        </w:rPr>
        <w:t>Método de valuación de la inversión en acciones de Compañías subsidiarias no consolidadas y asociadas</w:t>
      </w:r>
      <w:r w:rsidRPr="00E74967">
        <w:rPr>
          <w:rFonts w:cs="Calibri"/>
        </w:rPr>
        <w:t>:</w:t>
      </w:r>
    </w:p>
    <w:p w14:paraId="076F035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7AB1226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Sistema y método de valuación de inventarios y costo de lo vendido:</w:t>
      </w:r>
    </w:p>
    <w:p w14:paraId="1CBF1557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1D8C904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e)</w:t>
      </w:r>
      <w:r w:rsidRPr="00E74967">
        <w:rPr>
          <w:rFonts w:cs="Calibri"/>
        </w:rPr>
        <w:t xml:space="preserve"> Beneficios a empleados: revelar el cálculo de la reserva actuarial, valor presente de los ingresos esperados comparado con el valor presente de la estimación de gastos tanto de los beneficiarios actuales como futuros:</w:t>
      </w:r>
    </w:p>
    <w:p w14:paraId="0D9C8B24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113C38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f)</w:t>
      </w:r>
      <w:r w:rsidRPr="00E74967">
        <w:rPr>
          <w:rFonts w:cs="Calibri"/>
        </w:rPr>
        <w:t xml:space="preserve"> Provisiones: objetivo de su creación, monto y plazo:</w:t>
      </w:r>
    </w:p>
    <w:p w14:paraId="2FA19CC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4190001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g)</w:t>
      </w:r>
      <w:r w:rsidRPr="00E74967">
        <w:rPr>
          <w:rFonts w:cs="Calibri"/>
        </w:rPr>
        <w:t xml:space="preserve"> Reservas: objetivo de su creación, monto y plazo:</w:t>
      </w:r>
    </w:p>
    <w:p w14:paraId="01F132E2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E497DBB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h)</w:t>
      </w:r>
      <w:r w:rsidRPr="00E74967">
        <w:rPr>
          <w:rFonts w:cs="Calibri"/>
        </w:rPr>
        <w:t xml:space="preserve"> Cambios en políticas contables y corrección de errores junto con la revelación de los efectos que se tendrá en la información financiera del ente público, ya sea retrospectivos o prospectivos:</w:t>
      </w:r>
    </w:p>
    <w:p w14:paraId="7F98DD77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12C8FA9A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i)</w:t>
      </w:r>
      <w:r w:rsidRPr="00E74967">
        <w:rPr>
          <w:rFonts w:cs="Calibri"/>
        </w:rPr>
        <w:t xml:space="preserve"> Reclasificaciones: Se deben revelar todos aquellos movimientos entre cuentas por efectos de cambios en los tipos de operaciones:</w:t>
      </w:r>
    </w:p>
    <w:p w14:paraId="373567AB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5405EF8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j)</w:t>
      </w:r>
      <w:r w:rsidRPr="00E74967">
        <w:rPr>
          <w:rFonts w:cs="Calibri"/>
        </w:rPr>
        <w:t xml:space="preserve"> Depuración y cancelación de saldos:</w:t>
      </w:r>
    </w:p>
    <w:p w14:paraId="673C55E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6" w:name="_Toc161472871"/>
      <w:r>
        <w:rPr>
          <w:rFonts w:ascii="Times New Roman" w:hAnsi="Times New Roman"/>
          <w:sz w:val="24"/>
          <w:szCs w:val="24"/>
        </w:rPr>
        <w:t>N/A</w:t>
      </w:r>
    </w:p>
    <w:p w14:paraId="2CA8BAC1" w14:textId="16AB8AA7" w:rsidR="007D1E76" w:rsidRPr="000C3365" w:rsidRDefault="003E6C64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r>
        <w:rPr>
          <w:rFonts w:asciiTheme="minorHAnsi" w:hAnsiTheme="minorHAnsi" w:cstheme="minorHAnsi"/>
          <w:b/>
          <w:color w:val="auto"/>
          <w:sz w:val="22"/>
        </w:rPr>
        <w:t>6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Posición en Moneda Extranjera y Pro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tección por Riesgo Cambiario:</w:t>
      </w:r>
      <w:bookmarkEnd w:id="6"/>
    </w:p>
    <w:p w14:paraId="60114D1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2C7301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sobre:</w:t>
      </w:r>
    </w:p>
    <w:p w14:paraId="7E8BC54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31D25F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Activos en moneda extranjera:</w:t>
      </w:r>
    </w:p>
    <w:p w14:paraId="10E172F9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7E44729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Pasivos en moneda extranjera:</w:t>
      </w:r>
    </w:p>
    <w:p w14:paraId="334FF76C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E3298C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c) </w:t>
      </w:r>
      <w:r w:rsidRPr="00E74967">
        <w:rPr>
          <w:rFonts w:cs="Calibri"/>
        </w:rPr>
        <w:t>Posición en moneda extranjera:</w:t>
      </w:r>
    </w:p>
    <w:p w14:paraId="0E98DCB3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61291BC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d)</w:t>
      </w:r>
      <w:r w:rsidRPr="00E74967">
        <w:rPr>
          <w:rFonts w:cs="Calibri"/>
        </w:rPr>
        <w:t xml:space="preserve"> Tipo de cambio:</w:t>
      </w:r>
    </w:p>
    <w:p w14:paraId="11438C8F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2878D6F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 xml:space="preserve">e) </w:t>
      </w:r>
      <w:r w:rsidRPr="00E74967">
        <w:rPr>
          <w:rFonts w:cs="Calibri"/>
        </w:rPr>
        <w:t>Equivalente en moneda nacional:</w:t>
      </w:r>
    </w:p>
    <w:p w14:paraId="5D643F31" w14:textId="77777777" w:rsidR="00EE5B59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0172817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Lo anterior por cada tipo de moneda extranjera que se encuentre en los rubros de activo y pasivo.</w:t>
      </w:r>
    </w:p>
    <w:p w14:paraId="20DD1BAE" w14:textId="4A4A65C9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Adicionalmente</w:t>
      </w:r>
      <w:r w:rsidR="00D32331">
        <w:rPr>
          <w:rFonts w:cs="Calibri"/>
        </w:rPr>
        <w:t>,</w:t>
      </w:r>
      <w:r w:rsidRPr="00E74967">
        <w:rPr>
          <w:rFonts w:cs="Calibri"/>
        </w:rPr>
        <w:t xml:space="preserve"> se informará sobre los métodos de protección de riesgo por vari</w:t>
      </w:r>
      <w:r w:rsidR="00E00323" w:rsidRPr="00E74967">
        <w:rPr>
          <w:rFonts w:cs="Calibri"/>
        </w:rPr>
        <w:t>aciones en el tipo de cambio.</w:t>
      </w:r>
    </w:p>
    <w:p w14:paraId="6B0A688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95853FE" w14:textId="75928022" w:rsidR="007D1E76" w:rsidRPr="000C3365" w:rsidRDefault="0064059E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7" w:name="_Toc161472872"/>
      <w:r>
        <w:rPr>
          <w:rFonts w:asciiTheme="minorHAnsi" w:hAnsiTheme="minorHAnsi" w:cstheme="minorHAnsi"/>
          <w:b/>
          <w:color w:val="auto"/>
          <w:sz w:val="22"/>
        </w:rPr>
        <w:lastRenderedPageBreak/>
        <w:t>7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E00323" w:rsidRPr="000C3365">
        <w:rPr>
          <w:rFonts w:asciiTheme="minorHAnsi" w:hAnsiTheme="minorHAnsi" w:cstheme="minorHAnsi"/>
          <w:b/>
          <w:color w:val="auto"/>
          <w:sz w:val="22"/>
        </w:rPr>
        <w:t>Reporte Analítico del Activo:</w:t>
      </w:r>
      <w:bookmarkEnd w:id="7"/>
    </w:p>
    <w:p w14:paraId="7DC51E13" w14:textId="79E1D3B2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B6EDA91" w14:textId="70C9CF64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6C3B8C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957F4B" w14:textId="6AD73354" w:rsidR="007D1E76" w:rsidRPr="000C3365" w:rsidRDefault="002722DD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8" w:name="_Toc161472873"/>
      <w:r>
        <w:rPr>
          <w:rFonts w:asciiTheme="minorHAnsi" w:hAnsiTheme="minorHAnsi" w:cstheme="minorHAnsi"/>
          <w:b/>
          <w:color w:val="auto"/>
          <w:sz w:val="22"/>
        </w:rPr>
        <w:t>8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Fidei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comisos, Mandatos y Análogos:</w:t>
      </w:r>
      <w:bookmarkEnd w:id="8"/>
    </w:p>
    <w:p w14:paraId="5B412C86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E55E71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deberá informar:</w:t>
      </w:r>
    </w:p>
    <w:p w14:paraId="708E87EF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701D95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Por ramo administrativo que los reporta:</w:t>
      </w:r>
    </w:p>
    <w:p w14:paraId="5DD0849A" w14:textId="51BDE516" w:rsidR="00EE5B59" w:rsidRDefault="00EE5B5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</w:rPr>
      </w:pPr>
      <w:r>
        <w:rPr>
          <w:rFonts w:ascii="Times New Roman" w:hAnsi="Times New Roman"/>
          <w:sz w:val="24"/>
          <w:szCs w:val="24"/>
        </w:rPr>
        <w:t>N/A</w:t>
      </w:r>
    </w:p>
    <w:p w14:paraId="326C2254" w14:textId="561AD0FE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Enlistar los de mayor monto de disponibilidad, relacionando aquéllos que conforman el 80% de las disponibilidades:</w:t>
      </w:r>
    </w:p>
    <w:p w14:paraId="5A49228D" w14:textId="77777777" w:rsidR="00EE5B59" w:rsidRPr="001A6052" w:rsidRDefault="00EE5B59" w:rsidP="00EE5B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E3ECA">
        <w:rPr>
          <w:rFonts w:ascii="Times New Roman" w:hAnsi="Times New Roman"/>
          <w:sz w:val="24"/>
          <w:szCs w:val="24"/>
        </w:rPr>
        <w:t xml:space="preserve">   N/A  </w:t>
      </w:r>
    </w:p>
    <w:p w14:paraId="5AE5725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F60B1C6" w14:textId="47BAD216" w:rsidR="007D1E76" w:rsidRDefault="002722DD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9" w:name="_Toc161472874"/>
      <w:r>
        <w:rPr>
          <w:rFonts w:asciiTheme="minorHAnsi" w:hAnsiTheme="minorHAnsi" w:cstheme="minorHAnsi"/>
          <w:b/>
          <w:color w:val="auto"/>
          <w:sz w:val="22"/>
        </w:rPr>
        <w:t>9</w:t>
      </w:r>
      <w:r w:rsidR="007D1E76" w:rsidRPr="000C3365">
        <w:rPr>
          <w:rFonts w:asciiTheme="minorHAnsi" w:hAnsiTheme="minorHAnsi" w:cstheme="minorHAnsi"/>
          <w:b/>
          <w:color w:val="auto"/>
          <w:sz w:val="22"/>
        </w:rPr>
        <w:t>. Reporte de la Recaudación:</w:t>
      </w:r>
      <w:bookmarkEnd w:id="9"/>
    </w:p>
    <w:p w14:paraId="479B5596" w14:textId="6DD5DC7F" w:rsidR="00A61C4A" w:rsidRPr="00A61C4A" w:rsidRDefault="00A61C4A" w:rsidP="00A61C4A">
      <w:pPr>
        <w:pStyle w:val="Prrafodelist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C53C1">
        <w:rPr>
          <w:rFonts w:ascii="Times New Roman" w:hAnsi="Times New Roman"/>
          <w:sz w:val="24"/>
          <w:szCs w:val="24"/>
        </w:rPr>
        <w:t>Análisis del comportamiento de la recaudación correspondiente al ente público o cualquier tipo de ingreso, de forma separada los ingresos locales de los federales:</w:t>
      </w:r>
    </w:p>
    <w:p w14:paraId="2B90D2E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6FDB1A9" w14:textId="437EB58C" w:rsidR="00231FBE" w:rsidRDefault="00231FB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6E4AAC3" w14:textId="77777777" w:rsidR="00A61C4A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B29CC7" w14:textId="77777777" w:rsidR="00A61C4A" w:rsidRDefault="00A61C4A" w:rsidP="00A61C4A">
      <w:pPr>
        <w:pStyle w:val="Prrafodelista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F6983">
        <w:rPr>
          <w:rFonts w:ascii="Times New Roman" w:hAnsi="Times New Roman"/>
          <w:sz w:val="24"/>
          <w:szCs w:val="24"/>
        </w:rPr>
        <w:t>Proyección de la recaudación e ingresos en el mediano plazo:</w:t>
      </w:r>
    </w:p>
    <w:p w14:paraId="383552F6" w14:textId="77777777" w:rsidR="00A61C4A" w:rsidRDefault="00A61C4A" w:rsidP="00A61C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3633785" w14:textId="648E55CE" w:rsidR="00A61C4A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D68C3FC" w14:textId="6E869092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0" w:name="_Toc161472875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106EE9">
        <w:rPr>
          <w:rFonts w:asciiTheme="minorHAnsi" w:hAnsiTheme="minorHAnsi" w:cstheme="minorHAnsi"/>
          <w:b/>
          <w:color w:val="auto"/>
          <w:sz w:val="22"/>
        </w:rPr>
        <w:t>0</w:t>
      </w:r>
      <w:r w:rsidRPr="000C3365">
        <w:rPr>
          <w:rFonts w:asciiTheme="minorHAnsi" w:hAnsiTheme="minorHAnsi" w:cstheme="minorHAnsi"/>
          <w:b/>
          <w:color w:val="auto"/>
          <w:sz w:val="22"/>
        </w:rPr>
        <w:t>. Información sobre la Deuda y el R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eporte Analítico de la Deuda:</w:t>
      </w:r>
      <w:bookmarkEnd w:id="10"/>
    </w:p>
    <w:p w14:paraId="27337031" w14:textId="2141D292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B63D2E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Utilizar al menos los siguientes indicadores: deuda respecto al PIB y deuda respecto a la recaudación tomando, como mínimo, un período igual o menor a 5 años.</w:t>
      </w:r>
    </w:p>
    <w:p w14:paraId="5D78D3FC" w14:textId="66D1F0DE" w:rsidR="00A61C4A" w:rsidRPr="00546844" w:rsidRDefault="00A61C4A" w:rsidP="00A61C4A">
      <w:pPr>
        <w:pStyle w:val="Prrafodelista"/>
        <w:spacing w:after="0" w:line="240" w:lineRule="auto"/>
        <w:jc w:val="both"/>
      </w:pPr>
      <w:r>
        <w:t>E</w:t>
      </w:r>
      <w:r w:rsidRPr="00546844">
        <w:t>ste ente no cuenta o a adquirido deuda pública.</w:t>
      </w:r>
    </w:p>
    <w:p w14:paraId="7F695DC8" w14:textId="77777777" w:rsidR="00A61C4A" w:rsidRPr="00546844" w:rsidRDefault="00A61C4A" w:rsidP="00A61C4A">
      <w:pPr>
        <w:spacing w:after="0" w:line="240" w:lineRule="auto"/>
        <w:jc w:val="both"/>
      </w:pPr>
    </w:p>
    <w:p w14:paraId="26034E41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Información de manera agrupada por tipo de valor gubernamental o instrumento financiero en la que se considere</w:t>
      </w:r>
      <w:r w:rsidR="001973A2" w:rsidRPr="00E74967">
        <w:rPr>
          <w:rFonts w:cs="Calibri"/>
        </w:rPr>
        <w:t>n</w:t>
      </w:r>
      <w:r w:rsidRPr="00E74967">
        <w:rPr>
          <w:rFonts w:cs="Calibri"/>
        </w:rPr>
        <w:t xml:space="preserve"> intereses, comisiones, tasa, perfil de vencimiento y otros gastos de la deuda.</w:t>
      </w:r>
    </w:p>
    <w:p w14:paraId="67DDEBBA" w14:textId="00AEA81A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 xml:space="preserve">* Se </w:t>
      </w:r>
      <w:r w:rsidR="000C3365" w:rsidRPr="00E74967">
        <w:rPr>
          <w:rFonts w:cs="Calibri"/>
        </w:rPr>
        <w:t>anexará</w:t>
      </w:r>
      <w:r w:rsidRPr="00E74967">
        <w:rPr>
          <w:rFonts w:cs="Calibri"/>
        </w:rPr>
        <w:t xml:space="preserve"> la informació</w:t>
      </w:r>
      <w:r w:rsidR="005E231E" w:rsidRPr="00E74967">
        <w:rPr>
          <w:rFonts w:cs="Calibri"/>
        </w:rPr>
        <w:t>n en las notas de desglose.</w:t>
      </w:r>
    </w:p>
    <w:p w14:paraId="47A92FC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ED463CD" w14:textId="1F126831" w:rsidR="00A61C4A" w:rsidRPr="00A61C4A" w:rsidRDefault="00A61C4A" w:rsidP="00A61C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>E</w:t>
      </w:r>
      <w:r w:rsidRPr="00546844">
        <w:t>ste ente no cuenta o a adquirido deuda pública.</w:t>
      </w:r>
    </w:p>
    <w:p w14:paraId="409B1D78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9C64A34" w14:textId="7E11CC12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1" w:name="_Toc161472876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5F2900">
        <w:rPr>
          <w:rFonts w:asciiTheme="minorHAnsi" w:hAnsiTheme="minorHAnsi" w:cstheme="minorHAnsi"/>
          <w:b/>
          <w:color w:val="auto"/>
          <w:sz w:val="22"/>
        </w:rPr>
        <w:t>1</w:t>
      </w:r>
      <w:r w:rsidRPr="000C3365">
        <w:rPr>
          <w:rFonts w:asciiTheme="minorHAnsi" w:hAnsiTheme="minorHAnsi" w:cstheme="minorHAnsi"/>
          <w:b/>
          <w:color w:val="auto"/>
          <w:sz w:val="22"/>
        </w:rPr>
        <w:t>.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 xml:space="preserve"> Calificaciones otorgadas:</w:t>
      </w:r>
      <w:bookmarkEnd w:id="11"/>
    </w:p>
    <w:p w14:paraId="67197CE9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7D9F68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Informar, tanto del ente público como cualquier transacción realizada, que haya sido sujeta a una calificación crediticia:</w:t>
      </w:r>
    </w:p>
    <w:p w14:paraId="69F25506" w14:textId="13425B32" w:rsidR="007D1E76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N/A</w:t>
      </w:r>
    </w:p>
    <w:p w14:paraId="10B4C763" w14:textId="7FFDB478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2" w:name="_Toc161472877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F6759B">
        <w:rPr>
          <w:rFonts w:asciiTheme="minorHAnsi" w:hAnsiTheme="minorHAnsi" w:cstheme="minorHAnsi"/>
          <w:b/>
          <w:color w:val="auto"/>
          <w:sz w:val="22"/>
        </w:rPr>
        <w:t>2</w:t>
      </w:r>
      <w:r w:rsidRPr="000C3365">
        <w:rPr>
          <w:rFonts w:asciiTheme="minorHAnsi" w:hAnsiTheme="minorHAnsi" w:cstheme="minorHAnsi"/>
          <w:b/>
          <w:color w:val="auto"/>
          <w:sz w:val="22"/>
        </w:rPr>
        <w:t>. Proceso de Mejora:</w:t>
      </w:r>
      <w:bookmarkEnd w:id="12"/>
    </w:p>
    <w:p w14:paraId="0251CC4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71672D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informará de:</w:t>
      </w:r>
    </w:p>
    <w:p w14:paraId="533FB08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4D639AB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a)</w:t>
      </w:r>
      <w:r w:rsidRPr="00E74967">
        <w:rPr>
          <w:rFonts w:cs="Calibri"/>
        </w:rPr>
        <w:t xml:space="preserve"> Principales Políticas de control interno:</w:t>
      </w:r>
    </w:p>
    <w:p w14:paraId="72293A24" w14:textId="77777777" w:rsidR="00A61C4A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1.- Las principales políticas de control interno las establecemos en los lineamientos de austeridad y racionalidad para el control de los recursos públicos del municipio.</w:t>
      </w:r>
    </w:p>
    <w:p w14:paraId="32A875A2" w14:textId="77777777" w:rsidR="00A61C4A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2.- Las recomendaciones que emite las instancias revisoras.</w:t>
      </w:r>
    </w:p>
    <w:p w14:paraId="03B599C1" w14:textId="77777777" w:rsidR="00A61C4A" w:rsidRPr="00D15992" w:rsidRDefault="00A61C4A" w:rsidP="00A61C4A">
      <w:pPr>
        <w:pStyle w:val="Prrafodelista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3.- Las circulares emitidas por la dirección de Administración para cumplimiento.</w:t>
      </w:r>
    </w:p>
    <w:p w14:paraId="68D822AE" w14:textId="77777777" w:rsidR="00A61C4A" w:rsidRPr="008165B6" w:rsidRDefault="00A61C4A" w:rsidP="00A61C4A">
      <w:pPr>
        <w:spacing w:after="0" w:line="240" w:lineRule="auto"/>
        <w:jc w:val="both"/>
        <w:rPr>
          <w:rFonts w:ascii="Times New Roman" w:hAnsi="Times New Roman"/>
          <w:color w:val="C00000"/>
          <w:sz w:val="24"/>
          <w:szCs w:val="24"/>
        </w:rPr>
      </w:pPr>
    </w:p>
    <w:p w14:paraId="59CFF4B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  <w:b/>
        </w:rPr>
        <w:t>b)</w:t>
      </w:r>
      <w:r w:rsidRPr="00E74967">
        <w:rPr>
          <w:rFonts w:cs="Calibri"/>
        </w:rPr>
        <w:t xml:space="preserve"> Medidas de desempeño financiero, metas y alcance:</w:t>
      </w:r>
    </w:p>
    <w:p w14:paraId="795495BA" w14:textId="14FBEBFC" w:rsidR="007D1E76" w:rsidRPr="00E74967" w:rsidRDefault="00A61C4A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>
        <w:rPr>
          <w:rFonts w:cs="Calibri"/>
        </w:rPr>
        <w:t>SEVAC</w:t>
      </w:r>
    </w:p>
    <w:p w14:paraId="3D010C2A" w14:textId="279F5D07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3" w:name="_Toc161472878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F6759B">
        <w:rPr>
          <w:rFonts w:asciiTheme="minorHAnsi" w:hAnsiTheme="minorHAnsi" w:cstheme="minorHAnsi"/>
          <w:b/>
          <w:color w:val="auto"/>
          <w:sz w:val="22"/>
        </w:rPr>
        <w:t>3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. Información por Segmentos:</w:t>
      </w:r>
      <w:bookmarkEnd w:id="13"/>
    </w:p>
    <w:p w14:paraId="6C3C6A0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4BC1596" w14:textId="46D52ADD" w:rsidR="007D1E76" w:rsidRPr="00E74967" w:rsidRDefault="00806269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806269">
        <w:rPr>
          <w:rFonts w:cs="Calibri"/>
        </w:rPr>
        <w:t>Cuando se considere necesario se podrá revelar la información financiera de manera segmentada debido a la diversidad de las actividades y operaciones que realizan los entes públicos, ya que la misma proporciona información acerca de las diferentes actividades operativas en las cuales participa, de los productos o servicios que maneja, de las diferentes áreas geográficas, de los grupos homogéneos con el objetivo de entender el desempeño del ente, evaluar mejor los riesgos y beneficios del mismo, y entenderlo como un todo y sus partes integrantes</w:t>
      </w:r>
      <w:r w:rsidR="007D1E76" w:rsidRPr="00E74967">
        <w:rPr>
          <w:rFonts w:cs="Calibri"/>
        </w:rPr>
        <w:t>.</w:t>
      </w:r>
    </w:p>
    <w:p w14:paraId="1E94F855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4078A6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Consecuentemente, esta información contribuye al análisis más preciso de la situación financiera, grados y fuentes de riesgo y crec</w:t>
      </w:r>
      <w:r w:rsidR="005E231E" w:rsidRPr="00E74967">
        <w:rPr>
          <w:rFonts w:cs="Calibri"/>
        </w:rPr>
        <w:t>imiento potencial de negocio.</w:t>
      </w:r>
    </w:p>
    <w:p w14:paraId="4054793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3BBF660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CE772DA" w14:textId="7AAD6A4E" w:rsidR="007D1E76" w:rsidRPr="000C3365" w:rsidRDefault="007D1E76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4" w:name="_Toc161472879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4A1077">
        <w:rPr>
          <w:rFonts w:asciiTheme="minorHAnsi" w:hAnsiTheme="minorHAnsi" w:cstheme="minorHAnsi"/>
          <w:b/>
          <w:color w:val="auto"/>
          <w:sz w:val="22"/>
        </w:rPr>
        <w:t>4</w:t>
      </w:r>
      <w:r w:rsidRPr="000C3365">
        <w:rPr>
          <w:rFonts w:asciiTheme="minorHAnsi" w:hAnsiTheme="minorHAnsi" w:cstheme="minorHAnsi"/>
          <w:b/>
          <w:color w:val="auto"/>
          <w:sz w:val="22"/>
        </w:rPr>
        <w:t>. E</w:t>
      </w:r>
      <w:r w:rsidR="005E231E" w:rsidRPr="000C3365">
        <w:rPr>
          <w:rFonts w:asciiTheme="minorHAnsi" w:hAnsiTheme="minorHAnsi" w:cstheme="minorHAnsi"/>
          <w:b/>
          <w:color w:val="auto"/>
          <w:sz w:val="22"/>
        </w:rPr>
        <w:t>ventos Posteriores al Cierre:</w:t>
      </w:r>
      <w:bookmarkEnd w:id="14"/>
    </w:p>
    <w:p w14:paraId="362DF4F4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6268D065" w14:textId="3D7139F2" w:rsidR="001C34BC" w:rsidRPr="00E74967" w:rsidRDefault="007D1E76" w:rsidP="001C34BC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El ente público informará el efecto en sus estados financieros de aquellos hechos ocurridos en el período posterior al que informa, que proporcionan mayor evidencia sobre eventos que le afectan económicamente y que no se cono</w:t>
      </w:r>
      <w:r w:rsidR="005E231E" w:rsidRPr="00E74967">
        <w:rPr>
          <w:rFonts w:cs="Calibri"/>
        </w:rPr>
        <w:t>cían a la fecha de cierre.</w:t>
      </w:r>
      <w:r w:rsidR="005E231E" w:rsidRPr="00E74967">
        <w:rPr>
          <w:rFonts w:cs="Calibri"/>
        </w:rPr>
        <w:cr/>
      </w:r>
    </w:p>
    <w:p w14:paraId="55D08D4D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CC9AECC" w14:textId="4681A2A9" w:rsidR="007D1E76" w:rsidRPr="000C3365" w:rsidRDefault="005E231E" w:rsidP="000C3365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5" w:name="_Toc161472880"/>
      <w:r w:rsidRPr="000C3365">
        <w:rPr>
          <w:rFonts w:asciiTheme="minorHAnsi" w:hAnsiTheme="minorHAnsi" w:cstheme="minorHAnsi"/>
          <w:b/>
          <w:color w:val="auto"/>
          <w:sz w:val="22"/>
        </w:rPr>
        <w:t>1</w:t>
      </w:r>
      <w:r w:rsidR="001C34BC">
        <w:rPr>
          <w:rFonts w:asciiTheme="minorHAnsi" w:hAnsiTheme="minorHAnsi" w:cstheme="minorHAnsi"/>
          <w:b/>
          <w:color w:val="auto"/>
          <w:sz w:val="22"/>
        </w:rPr>
        <w:t>5</w:t>
      </w:r>
      <w:r w:rsidRPr="000C3365">
        <w:rPr>
          <w:rFonts w:asciiTheme="minorHAnsi" w:hAnsiTheme="minorHAnsi" w:cstheme="minorHAnsi"/>
          <w:b/>
          <w:color w:val="auto"/>
          <w:sz w:val="22"/>
        </w:rPr>
        <w:t>. Partes Relacionadas:</w:t>
      </w:r>
      <w:bookmarkEnd w:id="15"/>
    </w:p>
    <w:p w14:paraId="20438A33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A1981F2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E74967">
        <w:rPr>
          <w:rFonts w:cs="Calibri"/>
        </w:rPr>
        <w:t>Se debe establecer por escrito que no existen partes relacionadas que pudieran ejercer influencia significativa sobre la toma de decisiones financieras y operativas:</w:t>
      </w:r>
    </w:p>
    <w:p w14:paraId="17CEED12" w14:textId="1CE8B4DF" w:rsidR="007D1E76" w:rsidRPr="00A61C4A" w:rsidRDefault="00A61C4A" w:rsidP="00A61C4A">
      <w:pPr>
        <w:pStyle w:val="Prrafodelista"/>
        <w:numPr>
          <w:ilvl w:val="0"/>
          <w:numId w:val="16"/>
        </w:num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A61C4A">
        <w:rPr>
          <w:rFonts w:cs="Calibri"/>
        </w:rPr>
        <w:t>Hasta el cierre de este trimestre no existen partes relacionadas que pudieran ejercer influencia significativa sobre la toma de decisiones financieras y operativas:</w:t>
      </w:r>
    </w:p>
    <w:p w14:paraId="78699B1C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06707DA2" w14:textId="111599B2" w:rsidR="007D1E76" w:rsidRPr="00F46719" w:rsidRDefault="007D1E76" w:rsidP="00F46719">
      <w:pPr>
        <w:pStyle w:val="Ttulo2"/>
        <w:rPr>
          <w:rFonts w:asciiTheme="minorHAnsi" w:hAnsiTheme="minorHAnsi" w:cstheme="minorHAnsi"/>
          <w:b/>
          <w:color w:val="auto"/>
          <w:sz w:val="22"/>
        </w:rPr>
      </w:pPr>
      <w:bookmarkStart w:id="16" w:name="_Toc161472881"/>
      <w:r w:rsidRPr="00F46719">
        <w:rPr>
          <w:rFonts w:asciiTheme="minorHAnsi" w:hAnsiTheme="minorHAnsi" w:cstheme="minorHAnsi"/>
          <w:b/>
          <w:color w:val="auto"/>
          <w:sz w:val="22"/>
        </w:rPr>
        <w:t>1</w:t>
      </w:r>
      <w:r w:rsidR="001C34BC">
        <w:rPr>
          <w:rFonts w:asciiTheme="minorHAnsi" w:hAnsiTheme="minorHAnsi" w:cstheme="minorHAnsi"/>
          <w:b/>
          <w:color w:val="auto"/>
          <w:sz w:val="22"/>
        </w:rPr>
        <w:t>6</w:t>
      </w:r>
      <w:r w:rsidRPr="00F46719">
        <w:rPr>
          <w:rFonts w:asciiTheme="minorHAnsi" w:hAnsiTheme="minorHAnsi" w:cstheme="minorHAnsi"/>
          <w:b/>
          <w:color w:val="auto"/>
          <w:sz w:val="22"/>
        </w:rPr>
        <w:t xml:space="preserve">. </w:t>
      </w:r>
      <w:r w:rsidR="001973A2" w:rsidRPr="00F46719">
        <w:rPr>
          <w:rFonts w:asciiTheme="minorHAnsi" w:hAnsiTheme="minorHAnsi" w:cstheme="minorHAnsi"/>
          <w:b/>
          <w:color w:val="auto"/>
          <w:sz w:val="22"/>
        </w:rPr>
        <w:t>Responsabilidad Sobre la Presentación Razonable de la Información Contable</w:t>
      </w:r>
      <w:r w:rsidR="005E231E" w:rsidRPr="00F46719">
        <w:rPr>
          <w:rFonts w:asciiTheme="minorHAnsi" w:hAnsiTheme="minorHAnsi" w:cstheme="minorHAnsi"/>
          <w:b/>
          <w:color w:val="auto"/>
          <w:sz w:val="22"/>
        </w:rPr>
        <w:t>:</w:t>
      </w:r>
      <w:bookmarkEnd w:id="16"/>
    </w:p>
    <w:p w14:paraId="24905817" w14:textId="77777777" w:rsidR="007D1E76" w:rsidRPr="00E74967" w:rsidRDefault="007D1E76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50903296" w14:textId="5A74BBD3" w:rsidR="007D1E76" w:rsidRDefault="00C4625D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  <w:r w:rsidRPr="00C4625D">
        <w:rPr>
          <w:rFonts w:cs="Calibri"/>
        </w:rPr>
        <w:t>La Información Contable deberá estar firmada en cada página de la misma e incluir al final la siguiente leyenda: “Bajo protesta de decir verdad declaramos que los Estados Financieros y sus notas, son razonablemente correctos y son responsabilidad del emisor”. Lo anterior, no será aplicable para la información contable consolidada</w:t>
      </w:r>
      <w:r w:rsidR="001973A2" w:rsidRPr="001973A2">
        <w:rPr>
          <w:rFonts w:cs="Calibri"/>
        </w:rPr>
        <w:t>.</w:t>
      </w:r>
    </w:p>
    <w:p w14:paraId="2092EF68" w14:textId="77777777" w:rsidR="00D5018E" w:rsidRDefault="00D5018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16E74ADB" w14:textId="77777777" w:rsidR="00231FBE" w:rsidRDefault="00231FB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3FF73356" w14:textId="77777777" w:rsidR="00D5018E" w:rsidRDefault="00D5018E" w:rsidP="00D5018E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097939D2" w14:textId="251AB0E9" w:rsidR="00D5018E" w:rsidRPr="0012405A" w:rsidRDefault="00D5018E" w:rsidP="00D5018E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12405A">
        <w:rPr>
          <w:rFonts w:asciiTheme="minorHAnsi" w:hAnsiTheme="minorHAnsi" w:cstheme="minorHAnsi"/>
          <w:b/>
          <w:sz w:val="24"/>
          <w:szCs w:val="24"/>
        </w:rPr>
        <w:lastRenderedPageBreak/>
        <w:t xml:space="preserve">Nota </w:t>
      </w:r>
      <w:r>
        <w:rPr>
          <w:rFonts w:asciiTheme="minorHAnsi" w:hAnsiTheme="minorHAnsi" w:cstheme="minorHAnsi"/>
          <w:b/>
          <w:sz w:val="24"/>
          <w:szCs w:val="24"/>
        </w:rPr>
        <w:t>1</w:t>
      </w:r>
      <w:r w:rsidRPr="0012405A">
        <w:rPr>
          <w:rFonts w:asciiTheme="minorHAnsi" w:hAnsiTheme="minorHAnsi" w:cstheme="minorHAnsi"/>
          <w:sz w:val="24"/>
          <w:szCs w:val="24"/>
        </w:rPr>
        <w:t>: En cada una de las 1</w:t>
      </w:r>
      <w:r w:rsidR="005053EE">
        <w:rPr>
          <w:rFonts w:asciiTheme="minorHAnsi" w:hAnsiTheme="minorHAnsi" w:cstheme="minorHAnsi"/>
          <w:sz w:val="24"/>
          <w:szCs w:val="24"/>
        </w:rPr>
        <w:t>5</w:t>
      </w:r>
      <w:r w:rsidRPr="0012405A">
        <w:rPr>
          <w:rFonts w:asciiTheme="minorHAnsi" w:hAnsiTheme="minorHAnsi" w:cstheme="minorHAnsi"/>
          <w:sz w:val="24"/>
          <w:szCs w:val="24"/>
        </w:rPr>
        <w:t xml:space="preserve"> notas de gestión administrativa el ente público deberá poner la nota correspondiente o en su caso la leyenda “</w:t>
      </w:r>
      <w:r w:rsidRPr="00C54C12">
        <w:rPr>
          <w:rFonts w:asciiTheme="minorHAnsi" w:hAnsiTheme="minorHAnsi" w:cstheme="minorHAnsi"/>
          <w:b/>
          <w:bCs/>
          <w:sz w:val="24"/>
          <w:szCs w:val="24"/>
        </w:rPr>
        <w:t>Esta nota no le aplica al ente público” y una breve explicación del motivo por el cual no le es aplicable</w:t>
      </w:r>
      <w:r w:rsidRPr="0012405A">
        <w:rPr>
          <w:rFonts w:asciiTheme="minorHAnsi" w:hAnsiTheme="minorHAnsi" w:cstheme="minorHAnsi"/>
          <w:sz w:val="24"/>
          <w:szCs w:val="24"/>
        </w:rPr>
        <w:t>.</w:t>
      </w:r>
      <w:r w:rsidR="000310EF">
        <w:rPr>
          <w:rFonts w:asciiTheme="minorHAnsi" w:hAnsiTheme="minorHAnsi" w:cstheme="minorHAnsi"/>
          <w:sz w:val="24"/>
          <w:szCs w:val="24"/>
        </w:rPr>
        <w:t xml:space="preserve"> 06-12-2022</w:t>
      </w:r>
    </w:p>
    <w:tbl>
      <w:tblPr>
        <w:tblpPr w:leftFromText="141" w:rightFromText="141" w:vertAnchor="text" w:horzAnchor="margin" w:tblpXSpec="center" w:tblpY="633"/>
        <w:tblW w:w="113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13"/>
        <w:gridCol w:w="211"/>
        <w:gridCol w:w="403"/>
        <w:gridCol w:w="4121"/>
        <w:gridCol w:w="961"/>
      </w:tblGrid>
      <w:tr w:rsidR="005D3461" w:rsidRPr="005D3461" w14:paraId="26039870" w14:textId="77777777" w:rsidTr="005D3461">
        <w:trPr>
          <w:trHeight w:val="233"/>
        </w:trPr>
        <w:tc>
          <w:tcPr>
            <w:tcW w:w="62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352DC" w14:textId="77777777" w:rsidR="005D3461" w:rsidRPr="005D3461" w:rsidRDefault="005D3461" w:rsidP="00862C0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C738" w14:textId="77777777" w:rsidR="005D3461" w:rsidRPr="005D3461" w:rsidRDefault="005D3461" w:rsidP="005D346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D8E9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B2A91BA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BBDE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301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FC9A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74AC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CA8F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4148C712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5546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4BAD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134B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FD2B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14A5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7F173854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9E22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6634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D54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255B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510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6921AC6C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8F6F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0C5D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23330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2856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415B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BF945DB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0AC1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983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690D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EE69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E77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348026B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9E9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55A3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2267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AE8E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5534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343F1BD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164A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A48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A6A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07BB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7777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89F3AC5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B3056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A466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E4A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0224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D36F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0F4A0801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4B3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7766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6B4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EEB38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AE6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27681A1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1CCA1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__________________________________________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41427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54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609F1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              _________________________________________</w:t>
            </w:r>
          </w:p>
        </w:tc>
      </w:tr>
      <w:tr w:rsidR="005D3461" w:rsidRPr="005D3461" w14:paraId="6F733B3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153B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LIC. ERIKA SALINAS TREJO.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45976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90CB0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8897C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LIC. REYNALDO VELAZQUEZ MENDIETA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5A2C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</w:tr>
      <w:tr w:rsidR="005D3461" w:rsidRPr="005D3461" w14:paraId="6A57D6C7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2FEFA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>DIRECTORA GENERAL SMDIF.</w:t>
            </w: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C8295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A45B9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C1DF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5D346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  <w:t xml:space="preserve">ADMINISTRADOR SMDIF 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3E8F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</w:tr>
      <w:tr w:rsidR="005D3461" w:rsidRPr="005D3461" w14:paraId="794653A7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8089" w14:textId="77777777" w:rsidR="005D3461" w:rsidRPr="005D3461" w:rsidRDefault="005D3461" w:rsidP="005D346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E55B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DA8E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8AE4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2DC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4B3792E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337E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2C23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F98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DABF2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A33D7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  <w:tr w:rsidR="005D3461" w:rsidRPr="005D3461" w14:paraId="11003643" w14:textId="77777777" w:rsidTr="005D3461">
        <w:trPr>
          <w:trHeight w:val="233"/>
        </w:trPr>
        <w:tc>
          <w:tcPr>
            <w:tcW w:w="5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C846C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0EB3D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725A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8D5D1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74C9" w14:textId="77777777" w:rsidR="005D3461" w:rsidRPr="005D3461" w:rsidRDefault="005D3461" w:rsidP="005D346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es-MX"/>
              </w:rPr>
            </w:pPr>
          </w:p>
        </w:tc>
      </w:tr>
    </w:tbl>
    <w:p w14:paraId="0AABDD06" w14:textId="77777777" w:rsidR="00D5018E" w:rsidRPr="0012405A" w:rsidRDefault="00D5018E" w:rsidP="00D5018E">
      <w:pPr>
        <w:pBdr>
          <w:bottom w:val="single" w:sz="12" w:space="1" w:color="auto"/>
        </w:pBd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74D16815" w14:textId="77777777" w:rsidR="00D5018E" w:rsidRDefault="00D5018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p w14:paraId="23EBE227" w14:textId="6643F9B8" w:rsidR="0005181E" w:rsidRPr="00E74967" w:rsidRDefault="0005181E" w:rsidP="00CB41C4">
      <w:pPr>
        <w:tabs>
          <w:tab w:val="left" w:leader="underscore" w:pos="9639"/>
        </w:tabs>
        <w:spacing w:after="0" w:line="240" w:lineRule="auto"/>
        <w:jc w:val="both"/>
        <w:rPr>
          <w:rFonts w:cs="Calibri"/>
        </w:rPr>
      </w:pPr>
    </w:p>
    <w:sectPr w:rsidR="0005181E" w:rsidRPr="00E74967" w:rsidSect="0012405A">
      <w:headerReference w:type="default" r:id="rId13"/>
      <w:footerReference w:type="default" r:id="rId14"/>
      <w:pgSz w:w="12240" w:h="15840" w:code="1"/>
      <w:pgMar w:top="1418" w:right="1134" w:bottom="1134" w:left="1418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6CE3DC" w14:textId="77777777" w:rsidR="008A6BB9" w:rsidRDefault="008A6BB9" w:rsidP="00E00323">
      <w:pPr>
        <w:spacing w:after="0" w:line="240" w:lineRule="auto"/>
      </w:pPr>
      <w:r>
        <w:separator/>
      </w:r>
    </w:p>
  </w:endnote>
  <w:endnote w:type="continuationSeparator" w:id="0">
    <w:p w14:paraId="69D8F349" w14:textId="77777777" w:rsidR="008A6BB9" w:rsidRDefault="008A6BB9" w:rsidP="00E00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64267310"/>
      <w:docPartObj>
        <w:docPartGallery w:val="Page Numbers (Bottom of Page)"/>
        <w:docPartUnique/>
      </w:docPartObj>
    </w:sdtPr>
    <w:sdtEndPr/>
    <w:sdtContent>
      <w:p w14:paraId="45A1378E" w14:textId="76C1D735" w:rsidR="0012405A" w:rsidRDefault="0012405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6C3D" w:rsidRPr="00696C3D">
          <w:rPr>
            <w:noProof/>
            <w:lang w:val="es-ES"/>
          </w:rPr>
          <w:t>1</w:t>
        </w:r>
        <w:r>
          <w:fldChar w:fldCharType="end"/>
        </w:r>
      </w:p>
    </w:sdtContent>
  </w:sdt>
  <w:p w14:paraId="37983FFD" w14:textId="77777777" w:rsidR="0012405A" w:rsidRDefault="001240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3C2EBB" w14:textId="77777777" w:rsidR="008A6BB9" w:rsidRDefault="008A6BB9" w:rsidP="00E00323">
      <w:pPr>
        <w:spacing w:after="0" w:line="240" w:lineRule="auto"/>
      </w:pPr>
      <w:r>
        <w:separator/>
      </w:r>
    </w:p>
  </w:footnote>
  <w:footnote w:type="continuationSeparator" w:id="0">
    <w:p w14:paraId="49BAC2ED" w14:textId="77777777" w:rsidR="008A6BB9" w:rsidRDefault="008A6BB9" w:rsidP="00E003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C548F" w14:textId="0AB3CC22" w:rsidR="00154BA3" w:rsidRDefault="00351BAA" w:rsidP="00A4610E">
    <w:pPr>
      <w:pStyle w:val="Encabezado"/>
      <w:spacing w:after="0" w:line="240" w:lineRule="auto"/>
      <w:jc w:val="center"/>
    </w:pPr>
    <w:r>
      <w:t>SISTEMA PARA EL DESARROLLO INTEGRAL DE LA FAMILIA DEL MUNICIPIO DE VICTORIA, GTO.</w:t>
    </w:r>
  </w:p>
  <w:p w14:paraId="651A4C4F" w14:textId="07891605" w:rsidR="00A4610E" w:rsidRDefault="00A4610E" w:rsidP="00A4610E">
    <w:pPr>
      <w:pStyle w:val="Encabezado"/>
      <w:spacing w:after="0" w:line="240" w:lineRule="auto"/>
      <w:jc w:val="center"/>
    </w:pPr>
    <w:r w:rsidRPr="00A4610E">
      <w:t>CORRESPONDI</w:t>
    </w:r>
    <w:r w:rsidR="00DD018C">
      <w:t>E</w:t>
    </w:r>
    <w:r w:rsidRPr="00A4610E">
      <w:t xml:space="preserve">NTES AL </w:t>
    </w:r>
    <w:r w:rsidR="00351BAA">
      <w:t>3</w:t>
    </w:r>
    <w:r w:rsidR="007B2694">
      <w:t>1 DE DICIEMBRE DE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5280D"/>
    <w:multiLevelType w:val="hybridMultilevel"/>
    <w:tmpl w:val="436E3AA8"/>
    <w:lvl w:ilvl="0" w:tplc="7FF42C1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D5520"/>
    <w:multiLevelType w:val="hybridMultilevel"/>
    <w:tmpl w:val="E666607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62879"/>
    <w:multiLevelType w:val="hybridMultilevel"/>
    <w:tmpl w:val="DC4AB2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0370"/>
    <w:multiLevelType w:val="hybridMultilevel"/>
    <w:tmpl w:val="E666607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54323"/>
    <w:multiLevelType w:val="hybridMultilevel"/>
    <w:tmpl w:val="A3F6C0C8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AB17730"/>
    <w:multiLevelType w:val="hybridMultilevel"/>
    <w:tmpl w:val="235605F4"/>
    <w:lvl w:ilvl="0" w:tplc="C3BCB4D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D7AA1"/>
    <w:multiLevelType w:val="hybridMultilevel"/>
    <w:tmpl w:val="A7B68E9A"/>
    <w:lvl w:ilvl="0" w:tplc="5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7" w15:restartNumberingAfterBreak="0">
    <w:nsid w:val="3441710A"/>
    <w:multiLevelType w:val="hybridMultilevel"/>
    <w:tmpl w:val="BD9C8584"/>
    <w:lvl w:ilvl="0" w:tplc="C24EE5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266665"/>
    <w:multiLevelType w:val="hybridMultilevel"/>
    <w:tmpl w:val="2076B3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4364E3"/>
    <w:multiLevelType w:val="hybridMultilevel"/>
    <w:tmpl w:val="561254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1B2612A"/>
    <w:multiLevelType w:val="hybridMultilevel"/>
    <w:tmpl w:val="9D9844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2A246B"/>
    <w:multiLevelType w:val="hybridMultilevel"/>
    <w:tmpl w:val="A1362B1A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1D0EEB"/>
    <w:multiLevelType w:val="hybridMultilevel"/>
    <w:tmpl w:val="C20A94B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6147E6"/>
    <w:multiLevelType w:val="hybridMultilevel"/>
    <w:tmpl w:val="C20A94BE"/>
    <w:lvl w:ilvl="0" w:tplc="E6DE808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EC73BC"/>
    <w:multiLevelType w:val="hybridMultilevel"/>
    <w:tmpl w:val="91EA66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8F18EC"/>
    <w:multiLevelType w:val="hybridMultilevel"/>
    <w:tmpl w:val="B074CB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7"/>
  </w:num>
  <w:num w:numId="5">
    <w:abstractNumId w:val="4"/>
  </w:num>
  <w:num w:numId="6">
    <w:abstractNumId w:val="9"/>
  </w:num>
  <w:num w:numId="7">
    <w:abstractNumId w:val="2"/>
  </w:num>
  <w:num w:numId="8">
    <w:abstractNumId w:val="8"/>
  </w:num>
  <w:num w:numId="9">
    <w:abstractNumId w:val="14"/>
  </w:num>
  <w:num w:numId="10">
    <w:abstractNumId w:val="15"/>
  </w:num>
  <w:num w:numId="11">
    <w:abstractNumId w:val="13"/>
  </w:num>
  <w:num w:numId="12">
    <w:abstractNumId w:val="12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E76"/>
    <w:rsid w:val="000310EF"/>
    <w:rsid w:val="00040D4F"/>
    <w:rsid w:val="0005181E"/>
    <w:rsid w:val="00084241"/>
    <w:rsid w:val="00084EAE"/>
    <w:rsid w:val="00091CE6"/>
    <w:rsid w:val="000B7810"/>
    <w:rsid w:val="000C3365"/>
    <w:rsid w:val="00106EE9"/>
    <w:rsid w:val="0012405A"/>
    <w:rsid w:val="0012493A"/>
    <w:rsid w:val="00154BA3"/>
    <w:rsid w:val="001973A2"/>
    <w:rsid w:val="001C34BC"/>
    <w:rsid w:val="001C710C"/>
    <w:rsid w:val="001C75F2"/>
    <w:rsid w:val="001D2063"/>
    <w:rsid w:val="001D43E9"/>
    <w:rsid w:val="00231FBE"/>
    <w:rsid w:val="00232175"/>
    <w:rsid w:val="002437FF"/>
    <w:rsid w:val="0024740E"/>
    <w:rsid w:val="00247FE7"/>
    <w:rsid w:val="002563C2"/>
    <w:rsid w:val="002722DD"/>
    <w:rsid w:val="00295B72"/>
    <w:rsid w:val="002B29E8"/>
    <w:rsid w:val="003443FB"/>
    <w:rsid w:val="003453CA"/>
    <w:rsid w:val="00351BAA"/>
    <w:rsid w:val="00396D53"/>
    <w:rsid w:val="003A1512"/>
    <w:rsid w:val="003E6C64"/>
    <w:rsid w:val="003F1A25"/>
    <w:rsid w:val="00421A3A"/>
    <w:rsid w:val="0043078C"/>
    <w:rsid w:val="00435A87"/>
    <w:rsid w:val="004A1077"/>
    <w:rsid w:val="004A58C8"/>
    <w:rsid w:val="004F234D"/>
    <w:rsid w:val="004F6FAC"/>
    <w:rsid w:val="005053EE"/>
    <w:rsid w:val="00516100"/>
    <w:rsid w:val="00516A8F"/>
    <w:rsid w:val="00540261"/>
    <w:rsid w:val="0054701E"/>
    <w:rsid w:val="005A2B2A"/>
    <w:rsid w:val="005B5531"/>
    <w:rsid w:val="005D3461"/>
    <w:rsid w:val="005D3E43"/>
    <w:rsid w:val="005E231E"/>
    <w:rsid w:val="005F2900"/>
    <w:rsid w:val="005F51CC"/>
    <w:rsid w:val="0061210C"/>
    <w:rsid w:val="0064059E"/>
    <w:rsid w:val="00657009"/>
    <w:rsid w:val="00681C79"/>
    <w:rsid w:val="00692A0D"/>
    <w:rsid w:val="00696C3D"/>
    <w:rsid w:val="006B1ADF"/>
    <w:rsid w:val="006F0687"/>
    <w:rsid w:val="006F77A8"/>
    <w:rsid w:val="007610BC"/>
    <w:rsid w:val="007714AB"/>
    <w:rsid w:val="007B2694"/>
    <w:rsid w:val="007D1E76"/>
    <w:rsid w:val="007D4484"/>
    <w:rsid w:val="007E38A2"/>
    <w:rsid w:val="007F699D"/>
    <w:rsid w:val="00806269"/>
    <w:rsid w:val="00862C01"/>
    <w:rsid w:val="0086420E"/>
    <w:rsid w:val="0086459F"/>
    <w:rsid w:val="008A6BB9"/>
    <w:rsid w:val="008C3BB8"/>
    <w:rsid w:val="008E076C"/>
    <w:rsid w:val="0092765C"/>
    <w:rsid w:val="00967DDA"/>
    <w:rsid w:val="009736CB"/>
    <w:rsid w:val="00A4610E"/>
    <w:rsid w:val="00A61C4A"/>
    <w:rsid w:val="00A6346D"/>
    <w:rsid w:val="00A730E0"/>
    <w:rsid w:val="00AA2768"/>
    <w:rsid w:val="00AA41E5"/>
    <w:rsid w:val="00AB722B"/>
    <w:rsid w:val="00AE1F6A"/>
    <w:rsid w:val="00AF4375"/>
    <w:rsid w:val="00B073DE"/>
    <w:rsid w:val="00B2424C"/>
    <w:rsid w:val="00B63006"/>
    <w:rsid w:val="00B6368B"/>
    <w:rsid w:val="00BA53FE"/>
    <w:rsid w:val="00BE02EB"/>
    <w:rsid w:val="00C060A0"/>
    <w:rsid w:val="00C4250B"/>
    <w:rsid w:val="00C4625D"/>
    <w:rsid w:val="00C54C12"/>
    <w:rsid w:val="00C93C67"/>
    <w:rsid w:val="00C97E1E"/>
    <w:rsid w:val="00CB41C4"/>
    <w:rsid w:val="00CF1316"/>
    <w:rsid w:val="00D13C44"/>
    <w:rsid w:val="00D32331"/>
    <w:rsid w:val="00D40FC2"/>
    <w:rsid w:val="00D5018E"/>
    <w:rsid w:val="00D546B2"/>
    <w:rsid w:val="00D975B1"/>
    <w:rsid w:val="00DD018C"/>
    <w:rsid w:val="00E00323"/>
    <w:rsid w:val="00E11758"/>
    <w:rsid w:val="00E74967"/>
    <w:rsid w:val="00E7559F"/>
    <w:rsid w:val="00E85520"/>
    <w:rsid w:val="00E9132F"/>
    <w:rsid w:val="00EA37F5"/>
    <w:rsid w:val="00EA7915"/>
    <w:rsid w:val="00ED7AA0"/>
    <w:rsid w:val="00EE5B59"/>
    <w:rsid w:val="00F00829"/>
    <w:rsid w:val="00F067C8"/>
    <w:rsid w:val="00F43AC5"/>
    <w:rsid w:val="00F46719"/>
    <w:rsid w:val="00F54F6F"/>
    <w:rsid w:val="00F6102D"/>
    <w:rsid w:val="00F65A92"/>
    <w:rsid w:val="00F6759B"/>
    <w:rsid w:val="00FC1AE8"/>
    <w:rsid w:val="00FF5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547DA28"/>
  <w15:chartTrackingRefBased/>
  <w15:docId w15:val="{23FE9072-35B7-45F9-8FCE-9AFD1097D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E76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467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C336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D1E76"/>
    <w:pPr>
      <w:ind w:left="720"/>
      <w:contextualSpacing/>
    </w:pPr>
  </w:style>
  <w:style w:type="character" w:styleId="Hipervnculo">
    <w:name w:val="Hyperlink"/>
    <w:uiPriority w:val="99"/>
    <w:unhideWhenUsed/>
    <w:rsid w:val="007D1E76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E00323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E0032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E00323"/>
    <w:rPr>
      <w:sz w:val="22"/>
      <w:szCs w:val="22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00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E00323"/>
    <w:rPr>
      <w:rFonts w:ascii="Tahoma" w:hAnsi="Tahoma" w:cs="Tahoma"/>
      <w:sz w:val="16"/>
      <w:szCs w:val="16"/>
      <w:lang w:eastAsia="en-US"/>
    </w:rPr>
  </w:style>
  <w:style w:type="paragraph" w:styleId="NormalWeb">
    <w:name w:val="Normal (Web)"/>
    <w:basedOn w:val="Normal"/>
    <w:uiPriority w:val="99"/>
    <w:unhideWhenUsed/>
    <w:rsid w:val="00E0032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  <w:style w:type="paragraph" w:styleId="Ttulo">
    <w:name w:val="Title"/>
    <w:basedOn w:val="Normal"/>
    <w:next w:val="Normal"/>
    <w:link w:val="TtuloCar"/>
    <w:uiPriority w:val="10"/>
    <w:qFormat/>
    <w:rsid w:val="00AA41E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41E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table" w:styleId="Tablaconcuadrcula">
    <w:name w:val="Table Grid"/>
    <w:basedOn w:val="Tablanormal"/>
    <w:uiPriority w:val="59"/>
    <w:rsid w:val="003453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uiPriority w:val="9"/>
    <w:rsid w:val="000C336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F4671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tuloTDC">
    <w:name w:val="TOC Heading"/>
    <w:basedOn w:val="Ttulo1"/>
    <w:next w:val="Normal"/>
    <w:uiPriority w:val="39"/>
    <w:unhideWhenUsed/>
    <w:qFormat/>
    <w:rsid w:val="00F46719"/>
    <w:pPr>
      <w:spacing w:line="259" w:lineRule="auto"/>
      <w:outlineLvl w:val="9"/>
    </w:pPr>
    <w:rPr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F46719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7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file:///C:/Users/acorona/lquiroz/AppData/Local/Microsoft/Windows/Temporary%20Internet%20Files/Content.Outlook/HBGSO9P3/MODELO%20CTA%202013.pptx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true</_x00bf_Formatomodificado_x003f_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CBD850-722C-4B0A-8EDE-7CABA60C709E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0c865bf4-0f22-4e4d-b041-7b0c1657e5a8"/>
    <ds:schemaRef ds:uri="http://purl.org/dc/elements/1.1/"/>
    <ds:schemaRef ds:uri="http://schemas.microsoft.com/office/2006/metadata/properties"/>
    <ds:schemaRef ds:uri="http://schemas.microsoft.com/office/infopath/2007/PartnerControls"/>
    <ds:schemaRef ds:uri="6aa8a68a-ab09-4ac8-a697-fdce915bc567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55B9485-7FE9-43F0-809A-30EC26A19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02599E-C54E-40EB-B3BD-41B2F70A96F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569603-B48E-4B24-A0CB-87CE23FF5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9</Pages>
  <Words>2414</Words>
  <Characters>13278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15661</CharactersWithSpaces>
  <SharedDoc>false</SharedDoc>
  <HLinks>
    <vt:vector size="6" baseType="variant">
      <vt:variant>
        <vt:i4>6357108</vt:i4>
      </vt:variant>
      <vt:variant>
        <vt:i4>0</vt:i4>
      </vt:variant>
      <vt:variant>
        <vt:i4>0</vt:i4>
      </vt:variant>
      <vt:variant>
        <vt:i4>5</vt:i4>
      </vt:variant>
      <vt:variant>
        <vt:lpwstr>../../../../../../../../lquiroz/AppData/Local/Microsoft/Windows/Temporary Internet Files/Content.Outlook/HBGSO9P3/MODELO CTA 2013.pptx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acorona</dc:creator>
  <cp:keywords/>
  <cp:lastModifiedBy>Dif Vic</cp:lastModifiedBy>
  <cp:revision>85</cp:revision>
  <cp:lastPrinted>2026-01-30T21:53:00Z</cp:lastPrinted>
  <dcterms:created xsi:type="dcterms:W3CDTF">2017-01-12T05:27:00Z</dcterms:created>
  <dcterms:modified xsi:type="dcterms:W3CDTF">2026-01-30T21:55:00Z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